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1A" w:rsidRPr="0051022A" w:rsidRDefault="00E73386" w:rsidP="00E3714E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51022A">
        <w:rPr>
          <w:rFonts w:ascii="Arial" w:eastAsia="Times New Roman" w:hAnsi="Arial" w:cs="Arial"/>
          <w:b/>
          <w:sz w:val="24"/>
          <w:szCs w:val="24"/>
          <w:lang w:val="fr-CA"/>
        </w:rPr>
        <w:t xml:space="preserve">COMMISSION DES LIBÉRATIONS CONDITIONNELLES DU </w:t>
      </w:r>
      <w:r w:rsidR="00176C1A" w:rsidRPr="0051022A">
        <w:rPr>
          <w:rFonts w:ascii="Arial" w:eastAsia="Times New Roman" w:hAnsi="Arial" w:cs="Arial"/>
          <w:b/>
          <w:sz w:val="24"/>
          <w:szCs w:val="24"/>
          <w:lang w:val="fr-CA"/>
        </w:rPr>
        <w:t>CANADA</w:t>
      </w:r>
      <w:r w:rsidR="00176C1A" w:rsidRPr="0051022A">
        <w:rPr>
          <w:rFonts w:ascii="Arial" w:eastAsia="Times New Roman" w:hAnsi="Arial" w:cs="Arial"/>
          <w:b/>
          <w:sz w:val="24"/>
          <w:szCs w:val="24"/>
          <w:lang w:val="fr-CA"/>
        </w:rPr>
        <w:br/>
      </w:r>
    </w:p>
    <w:p w:rsidR="00E114ED" w:rsidRPr="0051022A" w:rsidRDefault="00E114ED" w:rsidP="00E3714E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51022A">
        <w:rPr>
          <w:rFonts w:ascii="Arial" w:eastAsia="Times New Roman" w:hAnsi="Arial" w:cs="Arial"/>
          <w:b/>
          <w:sz w:val="24"/>
          <w:szCs w:val="24"/>
          <w:lang w:val="fr-CA"/>
        </w:rPr>
        <w:t xml:space="preserve">Engagements à l’égard de suivis </w:t>
      </w:r>
      <w:r w:rsidR="00103D8D">
        <w:rPr>
          <w:rFonts w:ascii="Arial" w:eastAsia="Times New Roman" w:hAnsi="Arial" w:cs="Arial"/>
          <w:b/>
          <w:sz w:val="24"/>
          <w:szCs w:val="24"/>
          <w:lang w:val="fr-CA"/>
        </w:rPr>
        <w:t>du</w:t>
      </w:r>
    </w:p>
    <w:p w:rsidR="00C71B36" w:rsidRPr="0051022A" w:rsidRDefault="00E73386" w:rsidP="00E3714E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51022A">
        <w:rPr>
          <w:rFonts w:ascii="Arial" w:eastAsia="Times New Roman" w:hAnsi="Arial" w:cs="Arial"/>
          <w:b/>
          <w:sz w:val="24"/>
          <w:szCs w:val="24"/>
          <w:lang w:val="fr-CA"/>
        </w:rPr>
        <w:t xml:space="preserve">COMITÉ SÉNATORIAL PERMANENT DES DROITS DE LA PERSONNE </w:t>
      </w:r>
    </w:p>
    <w:p w:rsidR="00C71B36" w:rsidRPr="0051022A" w:rsidRDefault="00FF6585" w:rsidP="00E3714E">
      <w:pPr>
        <w:spacing w:after="0"/>
        <w:jc w:val="center"/>
        <w:outlineLvl w:val="1"/>
        <w:rPr>
          <w:rFonts w:ascii="Arial" w:eastAsia="Times New Roman" w:hAnsi="Arial" w:cs="Arial"/>
          <w:b/>
          <w:bCs/>
          <w:kern w:val="36"/>
          <w:lang w:val="fr-CA"/>
        </w:rPr>
      </w:pPr>
      <w:r w:rsidRPr="0051022A">
        <w:rPr>
          <w:rFonts w:ascii="Arial" w:eastAsia="Times New Roman" w:hAnsi="Arial" w:cs="Arial"/>
          <w:b/>
          <w:lang w:val="fr-CA"/>
        </w:rPr>
        <w:t>27</w:t>
      </w:r>
      <w:r w:rsidR="00E73386" w:rsidRPr="0051022A">
        <w:rPr>
          <w:rFonts w:ascii="Arial" w:eastAsia="Times New Roman" w:hAnsi="Arial" w:cs="Arial"/>
          <w:b/>
          <w:lang w:val="fr-CA"/>
        </w:rPr>
        <w:t> février </w:t>
      </w:r>
      <w:r w:rsidR="00D03E7B" w:rsidRPr="0051022A">
        <w:rPr>
          <w:rFonts w:ascii="Arial" w:eastAsia="Times New Roman" w:hAnsi="Arial" w:cs="Arial"/>
          <w:b/>
          <w:lang w:val="fr-CA"/>
        </w:rPr>
        <w:t>2019</w:t>
      </w:r>
      <w:r w:rsidR="00C71B36" w:rsidRPr="0051022A">
        <w:rPr>
          <w:rFonts w:ascii="Arial" w:eastAsia="Times New Roman" w:hAnsi="Arial" w:cs="Arial"/>
          <w:b/>
          <w:lang w:val="fr-CA"/>
        </w:rPr>
        <w:t xml:space="preserve"> </w:t>
      </w:r>
    </w:p>
    <w:p w:rsidR="00C71B36" w:rsidRPr="0051022A" w:rsidRDefault="00C71B36" w:rsidP="00226CF6">
      <w:pPr>
        <w:pStyle w:val="NormalWeb"/>
        <w:spacing w:line="240" w:lineRule="auto"/>
        <w:rPr>
          <w:rFonts w:ascii="Arial" w:hAnsi="Arial" w:cs="Arial"/>
          <w:b/>
          <w:sz w:val="24"/>
          <w:lang w:val="fr-CA"/>
        </w:rPr>
      </w:pPr>
    </w:p>
    <w:p w:rsidR="000D3A7C" w:rsidRPr="0051022A" w:rsidRDefault="000D3A7C" w:rsidP="00F73074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E513A7" w:rsidRPr="0051022A" w:rsidRDefault="00E513A7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t>Question</w:t>
      </w:r>
    </w:p>
    <w:p w:rsidR="00E513A7" w:rsidRPr="0051022A" w:rsidRDefault="00B12F85" w:rsidP="00E513A7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Nombre de mises en liberté</w:t>
      </w:r>
      <w:r w:rsidR="00E513A7" w:rsidRPr="0051022A">
        <w:rPr>
          <w:rFonts w:ascii="Arial" w:hAnsi="Arial" w:cs="Arial"/>
          <w:szCs w:val="22"/>
          <w:lang w:val="fr-CA"/>
        </w:rPr>
        <w:t xml:space="preserve"> (</w:t>
      </w:r>
      <w:r w:rsidRPr="0051022A">
        <w:rPr>
          <w:rFonts w:ascii="Arial" w:hAnsi="Arial" w:cs="Arial"/>
          <w:szCs w:val="22"/>
          <w:lang w:val="fr-CA"/>
        </w:rPr>
        <w:t>statistiques et tendances</w:t>
      </w:r>
      <w:r w:rsidR="00E513A7" w:rsidRPr="0051022A">
        <w:rPr>
          <w:rFonts w:ascii="Arial" w:hAnsi="Arial" w:cs="Arial"/>
          <w:szCs w:val="22"/>
          <w:lang w:val="fr-CA"/>
        </w:rPr>
        <w:t>)</w:t>
      </w:r>
      <w:r w:rsidR="00103D8D">
        <w:rPr>
          <w:rFonts w:ascii="Arial" w:hAnsi="Arial" w:cs="Arial"/>
          <w:szCs w:val="22"/>
          <w:lang w:val="fr-CA"/>
        </w:rPr>
        <w:t>.</w:t>
      </w:r>
      <w:r w:rsidR="00E114ED" w:rsidRPr="0051022A">
        <w:rPr>
          <w:rFonts w:ascii="Arial" w:hAnsi="Arial" w:cs="Arial"/>
          <w:szCs w:val="22"/>
          <w:lang w:val="fr-CA"/>
        </w:rPr>
        <w:t xml:space="preserve"> </w:t>
      </w:r>
      <w:r w:rsidR="00E513A7" w:rsidRPr="0051022A">
        <w:rPr>
          <w:rFonts w:ascii="Arial" w:hAnsi="Arial" w:cs="Arial"/>
          <w:szCs w:val="22"/>
          <w:lang w:val="fr-CA"/>
        </w:rPr>
        <w:br/>
      </w:r>
    </w:p>
    <w:p w:rsidR="00E513A7" w:rsidRPr="0051022A" w:rsidRDefault="00B12F85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t>Réponse</w:t>
      </w:r>
    </w:p>
    <w:p w:rsidR="005854FA" w:rsidRPr="0051022A" w:rsidRDefault="00B12F85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Voir pièces jointes </w:t>
      </w:r>
      <w:r w:rsidR="00E114ED" w:rsidRPr="0051022A">
        <w:rPr>
          <w:rFonts w:ascii="Arial" w:hAnsi="Arial" w:cs="Arial"/>
          <w:szCs w:val="22"/>
          <w:lang w:val="fr-CA"/>
        </w:rPr>
        <w:t>sur</w:t>
      </w:r>
      <w:r w:rsidRPr="0051022A">
        <w:rPr>
          <w:rFonts w:ascii="Arial" w:hAnsi="Arial" w:cs="Arial"/>
          <w:szCs w:val="22"/>
          <w:lang w:val="fr-CA"/>
        </w:rPr>
        <w:t xml:space="preserve"> la répartition des mises en liberté </w:t>
      </w:r>
      <w:r w:rsidR="00103D8D">
        <w:rPr>
          <w:rFonts w:ascii="Arial" w:hAnsi="Arial" w:cs="Arial"/>
          <w:szCs w:val="22"/>
          <w:lang w:val="fr-CA"/>
        </w:rPr>
        <w:t xml:space="preserve">pour la population de délinquants </w:t>
      </w:r>
      <w:r w:rsidR="00BF237E" w:rsidRPr="0051022A">
        <w:rPr>
          <w:rFonts w:ascii="Arial" w:hAnsi="Arial" w:cs="Arial"/>
          <w:szCs w:val="22"/>
          <w:lang w:val="fr-CA"/>
        </w:rPr>
        <w:t>:</w:t>
      </w:r>
      <w:r w:rsidR="005854FA" w:rsidRPr="0051022A">
        <w:rPr>
          <w:rFonts w:ascii="Arial" w:hAnsi="Arial" w:cs="Arial"/>
          <w:szCs w:val="22"/>
          <w:lang w:val="fr-CA"/>
        </w:rPr>
        <w:t xml:space="preserve">   </w:t>
      </w:r>
    </w:p>
    <w:p w:rsidR="005854FA" w:rsidRPr="0051022A" w:rsidRDefault="00B12F85" w:rsidP="005854FA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Mises en liberté</w:t>
      </w:r>
      <w:r w:rsidR="005854FA" w:rsidRPr="0051022A">
        <w:rPr>
          <w:rFonts w:ascii="Arial" w:hAnsi="Arial" w:cs="Arial"/>
          <w:szCs w:val="22"/>
          <w:lang w:val="fr-CA"/>
        </w:rPr>
        <w:t xml:space="preserve"> – 2017-</w:t>
      </w:r>
      <w:r w:rsidRPr="0051022A">
        <w:rPr>
          <w:rFonts w:ascii="Arial" w:hAnsi="Arial" w:cs="Arial"/>
          <w:szCs w:val="22"/>
          <w:lang w:val="fr-CA"/>
        </w:rPr>
        <w:t>20</w:t>
      </w:r>
      <w:r w:rsidR="005854FA" w:rsidRPr="0051022A">
        <w:rPr>
          <w:rFonts w:ascii="Arial" w:hAnsi="Arial" w:cs="Arial"/>
          <w:szCs w:val="22"/>
          <w:lang w:val="fr-CA"/>
        </w:rPr>
        <w:t xml:space="preserve">18 </w:t>
      </w:r>
    </w:p>
    <w:p w:rsidR="00A41372" w:rsidRPr="0051022A" w:rsidRDefault="00B12F85" w:rsidP="005854FA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Mises en liberté</w:t>
      </w:r>
      <w:r w:rsidR="005854FA" w:rsidRPr="0051022A">
        <w:rPr>
          <w:rFonts w:ascii="Arial" w:hAnsi="Arial" w:cs="Arial"/>
          <w:szCs w:val="22"/>
          <w:lang w:val="fr-CA"/>
        </w:rPr>
        <w:t xml:space="preserve"> – 2018-</w:t>
      </w:r>
      <w:r w:rsidRPr="0051022A">
        <w:rPr>
          <w:rFonts w:ascii="Arial" w:hAnsi="Arial" w:cs="Arial"/>
          <w:szCs w:val="22"/>
          <w:lang w:val="fr-CA"/>
        </w:rPr>
        <w:t>20</w:t>
      </w:r>
      <w:r w:rsidR="005854FA" w:rsidRPr="0051022A">
        <w:rPr>
          <w:rFonts w:ascii="Arial" w:hAnsi="Arial" w:cs="Arial"/>
          <w:szCs w:val="22"/>
          <w:lang w:val="fr-CA"/>
        </w:rPr>
        <w:t>19</w:t>
      </w:r>
      <w:r w:rsidR="00A41372" w:rsidRPr="0051022A">
        <w:rPr>
          <w:rFonts w:ascii="Arial" w:hAnsi="Arial" w:cs="Arial"/>
          <w:szCs w:val="22"/>
          <w:lang w:val="fr-CA"/>
        </w:rPr>
        <w:t xml:space="preserve"> </w:t>
      </w:r>
    </w:p>
    <w:p w:rsidR="005854FA" w:rsidRPr="0051022A" w:rsidRDefault="005854FA" w:rsidP="00A41372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</w:p>
    <w:p w:rsidR="005854FA" w:rsidRPr="0051022A" w:rsidRDefault="00F73074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--------------------------------------</w:t>
      </w:r>
      <w:r w:rsidR="005854FA" w:rsidRPr="0051022A">
        <w:rPr>
          <w:rFonts w:ascii="Arial" w:hAnsi="Arial" w:cs="Arial"/>
          <w:szCs w:val="22"/>
          <w:lang w:val="fr-CA"/>
        </w:rPr>
        <w:br/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t>Question</w:t>
      </w:r>
    </w:p>
    <w:p w:rsidR="005854FA" w:rsidRPr="0051022A" w:rsidRDefault="00B12F85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Nombre de </w:t>
      </w:r>
      <w:r w:rsidR="005854FA" w:rsidRPr="0051022A">
        <w:rPr>
          <w:rFonts w:ascii="Arial" w:hAnsi="Arial" w:cs="Arial"/>
          <w:szCs w:val="22"/>
          <w:lang w:val="fr-CA"/>
        </w:rPr>
        <w:t>pardons (</w:t>
      </w:r>
      <w:r w:rsidRPr="0051022A">
        <w:rPr>
          <w:rFonts w:ascii="Arial" w:hAnsi="Arial" w:cs="Arial"/>
          <w:szCs w:val="22"/>
          <w:lang w:val="fr-CA"/>
        </w:rPr>
        <w:t>statistiques et tendances</w:t>
      </w:r>
      <w:r w:rsidR="00E114ED" w:rsidRPr="0051022A">
        <w:rPr>
          <w:rFonts w:ascii="Arial" w:hAnsi="Arial" w:cs="Arial"/>
          <w:szCs w:val="22"/>
          <w:lang w:val="fr-CA"/>
        </w:rPr>
        <w:t>)</w:t>
      </w:r>
      <w:r w:rsidR="00103D8D">
        <w:rPr>
          <w:rFonts w:ascii="Arial" w:hAnsi="Arial" w:cs="Arial"/>
          <w:szCs w:val="22"/>
          <w:lang w:val="fr-CA"/>
        </w:rPr>
        <w:t>.</w:t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br/>
      </w:r>
      <w:r w:rsidR="00B12F85" w:rsidRPr="0051022A">
        <w:rPr>
          <w:rFonts w:ascii="Arial" w:hAnsi="Arial" w:cs="Arial"/>
          <w:b/>
          <w:szCs w:val="22"/>
          <w:lang w:val="fr-CA"/>
        </w:rPr>
        <w:t>Réponse</w:t>
      </w:r>
    </w:p>
    <w:p w:rsidR="005854FA" w:rsidRPr="0051022A" w:rsidRDefault="00B12F85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Voir pièce jointe </w:t>
      </w:r>
      <w:r w:rsidR="005854FA" w:rsidRPr="0051022A">
        <w:rPr>
          <w:rFonts w:ascii="Arial" w:hAnsi="Arial" w:cs="Arial"/>
          <w:szCs w:val="22"/>
          <w:lang w:val="fr-CA"/>
        </w:rPr>
        <w:t xml:space="preserve">: </w:t>
      </w:r>
    </w:p>
    <w:p w:rsidR="005854FA" w:rsidRPr="0051022A" w:rsidRDefault="00B12F85" w:rsidP="005854FA">
      <w:pPr>
        <w:pStyle w:val="NormalWeb"/>
        <w:numPr>
          <w:ilvl w:val="0"/>
          <w:numId w:val="3"/>
        </w:numPr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Rapport au Parlement de 2017-2018 sur le Programme de suspension du casier </w:t>
      </w:r>
    </w:p>
    <w:p w:rsidR="005854FA" w:rsidRPr="0051022A" w:rsidRDefault="005854FA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--------------------------------------</w:t>
      </w:r>
      <w:r w:rsidR="00BF237E" w:rsidRPr="0051022A">
        <w:rPr>
          <w:rFonts w:ascii="Arial" w:hAnsi="Arial" w:cs="Arial"/>
          <w:b/>
          <w:szCs w:val="22"/>
          <w:lang w:val="fr-CA"/>
        </w:rPr>
        <w:br/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t>Question</w:t>
      </w:r>
    </w:p>
    <w:p w:rsidR="005854FA" w:rsidRPr="0051022A" w:rsidRDefault="00103D8D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R</w:t>
      </w:r>
      <w:r w:rsidRPr="0051022A">
        <w:rPr>
          <w:rFonts w:ascii="Arial" w:hAnsi="Arial" w:cs="Arial"/>
          <w:szCs w:val="22"/>
          <w:lang w:val="fr-CA"/>
        </w:rPr>
        <w:t xml:space="preserve">épartition </w:t>
      </w:r>
      <w:r>
        <w:rPr>
          <w:rFonts w:ascii="Arial" w:hAnsi="Arial" w:cs="Arial"/>
          <w:szCs w:val="22"/>
          <w:lang w:val="fr-CA"/>
        </w:rPr>
        <w:t>de la d</w:t>
      </w:r>
      <w:r w:rsidR="00931868" w:rsidRPr="0051022A">
        <w:rPr>
          <w:rFonts w:ascii="Arial" w:hAnsi="Arial" w:cs="Arial"/>
          <w:szCs w:val="22"/>
          <w:lang w:val="fr-CA"/>
        </w:rPr>
        <w:t xml:space="preserve">iversité au sein des commissaires </w:t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br/>
      </w:r>
      <w:r w:rsidR="00B12F85" w:rsidRPr="0051022A">
        <w:rPr>
          <w:rFonts w:ascii="Arial" w:hAnsi="Arial" w:cs="Arial"/>
          <w:b/>
          <w:szCs w:val="22"/>
          <w:lang w:val="fr-CA"/>
        </w:rPr>
        <w:t>Réponse</w:t>
      </w:r>
    </w:p>
    <w:p w:rsidR="005854FA" w:rsidRPr="0051022A" w:rsidRDefault="00931868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Voir pièce jointe </w:t>
      </w:r>
      <w:r w:rsidR="005854FA" w:rsidRPr="0051022A">
        <w:rPr>
          <w:rFonts w:ascii="Arial" w:hAnsi="Arial" w:cs="Arial"/>
          <w:szCs w:val="22"/>
          <w:lang w:val="fr-CA"/>
        </w:rPr>
        <w:t xml:space="preserve">: </w:t>
      </w:r>
    </w:p>
    <w:p w:rsidR="005854FA" w:rsidRPr="0051022A" w:rsidRDefault="00931868" w:rsidP="005854FA">
      <w:pPr>
        <w:pStyle w:val="NormalWeb"/>
        <w:numPr>
          <w:ilvl w:val="0"/>
          <w:numId w:val="3"/>
        </w:numPr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Profil des commissaires de la CLCC </w:t>
      </w:r>
      <w:r w:rsidR="00BF237E" w:rsidRPr="0051022A">
        <w:rPr>
          <w:rFonts w:ascii="Arial" w:hAnsi="Arial" w:cs="Arial"/>
          <w:szCs w:val="22"/>
          <w:lang w:val="fr-CA"/>
        </w:rPr>
        <w:br/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--------------------------------------</w:t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lastRenderedPageBreak/>
        <w:t>Question</w:t>
      </w:r>
    </w:p>
    <w:p w:rsidR="005854FA" w:rsidRPr="0051022A" w:rsidRDefault="00B12F85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Formation des commissaires</w:t>
      </w:r>
      <w:r w:rsidR="00103D8D">
        <w:rPr>
          <w:rFonts w:ascii="Arial" w:hAnsi="Arial" w:cs="Arial"/>
          <w:szCs w:val="22"/>
          <w:lang w:val="fr-CA"/>
        </w:rPr>
        <w:t>.</w:t>
      </w: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br/>
      </w:r>
      <w:r w:rsidR="00B12F85" w:rsidRPr="0051022A">
        <w:rPr>
          <w:rFonts w:ascii="Arial" w:hAnsi="Arial" w:cs="Arial"/>
          <w:b/>
          <w:szCs w:val="22"/>
          <w:lang w:val="fr-CA"/>
        </w:rPr>
        <w:t>Réponse</w:t>
      </w:r>
    </w:p>
    <w:p w:rsidR="005854FA" w:rsidRPr="0051022A" w:rsidRDefault="00931868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La CLCC fournit les formations suivantes aux commissaires </w:t>
      </w:r>
      <w:r w:rsidR="005854FA" w:rsidRPr="0051022A">
        <w:rPr>
          <w:rFonts w:ascii="Arial" w:hAnsi="Arial" w:cs="Arial"/>
          <w:szCs w:val="22"/>
          <w:lang w:val="fr-CA"/>
        </w:rPr>
        <w:t>:</w:t>
      </w:r>
    </w:p>
    <w:p w:rsidR="005854FA" w:rsidRPr="0051022A" w:rsidRDefault="005854FA" w:rsidP="00931868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Orientation </w:t>
      </w:r>
      <w:r w:rsidR="00931868" w:rsidRPr="0051022A">
        <w:rPr>
          <w:rFonts w:ascii="Arial" w:hAnsi="Arial" w:cs="Arial"/>
          <w:lang w:val="fr-CA"/>
        </w:rPr>
        <w:t xml:space="preserve">des commissaires </w:t>
      </w:r>
      <w:r w:rsidRPr="0051022A">
        <w:rPr>
          <w:rFonts w:ascii="Arial" w:hAnsi="Arial" w:cs="Arial"/>
          <w:lang w:val="fr-CA"/>
        </w:rPr>
        <w:t xml:space="preserve">– </w:t>
      </w:r>
      <w:r w:rsidR="00931868" w:rsidRPr="0051022A">
        <w:rPr>
          <w:rFonts w:ascii="Arial" w:hAnsi="Arial" w:cs="Arial"/>
          <w:lang w:val="fr-CA"/>
        </w:rPr>
        <w:t>formation obligatoire pour tous les commissaires nouvellement nommés</w:t>
      </w:r>
      <w:r w:rsidRPr="0051022A">
        <w:rPr>
          <w:rFonts w:ascii="Arial" w:hAnsi="Arial" w:cs="Arial"/>
          <w:lang w:val="fr-CA"/>
        </w:rPr>
        <w:t xml:space="preserve">; </w:t>
      </w:r>
      <w:r w:rsidR="00931868" w:rsidRPr="0051022A">
        <w:rPr>
          <w:rFonts w:ascii="Arial" w:hAnsi="Arial" w:cs="Arial"/>
          <w:lang w:val="fr-CA"/>
        </w:rPr>
        <w:t xml:space="preserve">dure cinq semaines, </w:t>
      </w:r>
      <w:r w:rsidR="00E114ED" w:rsidRPr="0051022A">
        <w:rPr>
          <w:rFonts w:ascii="Arial" w:hAnsi="Arial" w:cs="Arial"/>
          <w:lang w:val="fr-CA"/>
        </w:rPr>
        <w:t>enseignement réparti</w:t>
      </w:r>
      <w:r w:rsidR="00931868" w:rsidRPr="0051022A">
        <w:rPr>
          <w:rFonts w:ascii="Arial" w:hAnsi="Arial" w:cs="Arial"/>
          <w:lang w:val="fr-CA"/>
        </w:rPr>
        <w:t xml:space="preserve"> entre la région et le bureau national</w:t>
      </w:r>
      <w:r w:rsidRPr="0051022A">
        <w:rPr>
          <w:rFonts w:ascii="Arial" w:hAnsi="Arial" w:cs="Arial"/>
          <w:lang w:val="fr-CA"/>
        </w:rPr>
        <w:t>.</w:t>
      </w:r>
    </w:p>
    <w:p w:rsidR="005854FA" w:rsidRPr="0051022A" w:rsidRDefault="00931868" w:rsidP="00931868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Orientation des vice-présidents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Pr="0051022A">
        <w:rPr>
          <w:rFonts w:ascii="Arial" w:hAnsi="Arial" w:cs="Arial"/>
          <w:lang w:val="fr-CA"/>
        </w:rPr>
        <w:t xml:space="preserve">formation </w:t>
      </w:r>
      <w:r w:rsidR="00DF7F22">
        <w:rPr>
          <w:rFonts w:ascii="Arial" w:hAnsi="Arial" w:cs="Arial"/>
          <w:lang w:val="fr-CA"/>
        </w:rPr>
        <w:t xml:space="preserve">d’introduction </w:t>
      </w:r>
      <w:r w:rsidRPr="0051022A">
        <w:rPr>
          <w:rFonts w:ascii="Arial" w:hAnsi="Arial" w:cs="Arial"/>
          <w:lang w:val="fr-CA"/>
        </w:rPr>
        <w:t>obligatoire pour les vice-présidents nouvellement nommés</w:t>
      </w:r>
      <w:r w:rsidR="005854FA" w:rsidRPr="0051022A">
        <w:rPr>
          <w:rFonts w:ascii="Arial" w:hAnsi="Arial" w:cs="Arial"/>
          <w:lang w:val="fr-CA"/>
        </w:rPr>
        <w:t>.</w:t>
      </w:r>
    </w:p>
    <w:p w:rsidR="005854FA" w:rsidRPr="0051022A" w:rsidRDefault="007D761F" w:rsidP="005854FA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Orientation de la Section d’appel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="00931868" w:rsidRPr="0051022A">
        <w:rPr>
          <w:rFonts w:ascii="Arial" w:hAnsi="Arial" w:cs="Arial"/>
          <w:lang w:val="fr-CA"/>
        </w:rPr>
        <w:t xml:space="preserve">formation obligatoire </w:t>
      </w:r>
      <w:r w:rsidRPr="0051022A">
        <w:rPr>
          <w:rFonts w:ascii="Arial" w:hAnsi="Arial" w:cs="Arial"/>
          <w:lang w:val="fr-CA"/>
        </w:rPr>
        <w:t xml:space="preserve">pour les commissaires nommés à la Section d’appel </w:t>
      </w:r>
      <w:r w:rsidR="005854FA" w:rsidRPr="0051022A">
        <w:rPr>
          <w:rFonts w:ascii="Arial" w:hAnsi="Arial" w:cs="Arial"/>
          <w:lang w:val="fr-CA"/>
        </w:rPr>
        <w:t>(</w:t>
      </w:r>
      <w:r w:rsidR="00DF7F22">
        <w:rPr>
          <w:rFonts w:ascii="Arial" w:hAnsi="Arial" w:cs="Arial"/>
          <w:lang w:val="fr-CA"/>
        </w:rPr>
        <w:t>ou pour</w:t>
      </w:r>
      <w:r w:rsidRPr="0051022A">
        <w:rPr>
          <w:rFonts w:ascii="Arial" w:hAnsi="Arial" w:cs="Arial"/>
          <w:lang w:val="fr-CA"/>
        </w:rPr>
        <w:t xml:space="preserve"> </w:t>
      </w:r>
      <w:r w:rsidR="00DF7F22">
        <w:rPr>
          <w:rFonts w:ascii="Arial" w:hAnsi="Arial" w:cs="Arial"/>
          <w:lang w:val="fr-CA"/>
        </w:rPr>
        <w:t xml:space="preserve">les </w:t>
      </w:r>
      <w:r w:rsidR="00DF7F22" w:rsidRPr="0051022A">
        <w:rPr>
          <w:rFonts w:ascii="Arial" w:hAnsi="Arial" w:cs="Arial"/>
          <w:lang w:val="fr-CA"/>
        </w:rPr>
        <w:t xml:space="preserve">commissaires </w:t>
      </w:r>
      <w:r w:rsidR="00DF7F22">
        <w:rPr>
          <w:rFonts w:ascii="Arial" w:hAnsi="Arial" w:cs="Arial"/>
          <w:lang w:val="fr-CA"/>
        </w:rPr>
        <w:t xml:space="preserve">qui ont été </w:t>
      </w:r>
      <w:r w:rsidRPr="0051022A">
        <w:rPr>
          <w:rFonts w:ascii="Arial" w:hAnsi="Arial" w:cs="Arial"/>
          <w:lang w:val="fr-CA"/>
        </w:rPr>
        <w:t xml:space="preserve">sélectionnés pour aider la Section d’appel, </w:t>
      </w:r>
      <w:r w:rsidR="006A18DB" w:rsidRPr="0051022A">
        <w:rPr>
          <w:rFonts w:ascii="Arial" w:hAnsi="Arial" w:cs="Arial"/>
          <w:lang w:val="fr-CA"/>
        </w:rPr>
        <w:t>suivant les besoins</w:t>
      </w:r>
      <w:r w:rsidR="005854FA" w:rsidRPr="0051022A">
        <w:rPr>
          <w:rFonts w:ascii="Arial" w:hAnsi="Arial" w:cs="Arial"/>
          <w:lang w:val="fr-CA"/>
        </w:rPr>
        <w:t>).</w:t>
      </w:r>
    </w:p>
    <w:p w:rsidR="005854FA" w:rsidRPr="0051022A" w:rsidRDefault="007D761F" w:rsidP="005854FA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>Orientation sur le</w:t>
      </w:r>
      <w:r w:rsidR="00BB0752">
        <w:rPr>
          <w:rFonts w:ascii="Arial" w:hAnsi="Arial" w:cs="Arial"/>
          <w:lang w:val="fr-CA"/>
        </w:rPr>
        <w:t>s</w:t>
      </w:r>
      <w:r w:rsidRPr="0051022A">
        <w:rPr>
          <w:rFonts w:ascii="Arial" w:hAnsi="Arial" w:cs="Arial"/>
          <w:lang w:val="fr-CA"/>
        </w:rPr>
        <w:t xml:space="preserve"> pardon</w:t>
      </w:r>
      <w:r w:rsidR="00BB0752">
        <w:rPr>
          <w:rFonts w:ascii="Arial" w:hAnsi="Arial" w:cs="Arial"/>
          <w:lang w:val="fr-CA"/>
        </w:rPr>
        <w:t>s</w:t>
      </w:r>
      <w:r w:rsidRPr="0051022A">
        <w:rPr>
          <w:rFonts w:ascii="Arial" w:hAnsi="Arial" w:cs="Arial"/>
          <w:lang w:val="fr-CA"/>
        </w:rPr>
        <w:t>/l</w:t>
      </w:r>
      <w:r w:rsidR="00BB0752">
        <w:rPr>
          <w:rFonts w:ascii="Arial" w:hAnsi="Arial" w:cs="Arial"/>
          <w:lang w:val="fr-CA"/>
        </w:rPr>
        <w:t>es</w:t>
      </w:r>
      <w:r w:rsidRPr="0051022A">
        <w:rPr>
          <w:rFonts w:ascii="Arial" w:hAnsi="Arial" w:cs="Arial"/>
          <w:lang w:val="fr-CA"/>
        </w:rPr>
        <w:t xml:space="preserve"> suspension</w:t>
      </w:r>
      <w:r w:rsidR="00BB0752">
        <w:rPr>
          <w:rFonts w:ascii="Arial" w:hAnsi="Arial" w:cs="Arial"/>
          <w:lang w:val="fr-CA"/>
        </w:rPr>
        <w:t>s</w:t>
      </w:r>
      <w:r w:rsidRPr="0051022A">
        <w:rPr>
          <w:rFonts w:ascii="Arial" w:hAnsi="Arial" w:cs="Arial"/>
          <w:lang w:val="fr-CA"/>
        </w:rPr>
        <w:t xml:space="preserve"> du casier et la clémence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="00931868" w:rsidRPr="0051022A">
        <w:rPr>
          <w:rFonts w:ascii="Arial" w:hAnsi="Arial" w:cs="Arial"/>
          <w:lang w:val="fr-CA"/>
        </w:rPr>
        <w:t xml:space="preserve">formation obligatoire </w:t>
      </w:r>
      <w:r w:rsidRPr="0051022A">
        <w:rPr>
          <w:rFonts w:ascii="Arial" w:hAnsi="Arial" w:cs="Arial"/>
          <w:lang w:val="fr-CA"/>
        </w:rPr>
        <w:t>pour les commissaires devant rendre des décisions concernant l</w:t>
      </w:r>
      <w:r w:rsidR="00BB0752">
        <w:rPr>
          <w:rFonts w:ascii="Arial" w:hAnsi="Arial" w:cs="Arial"/>
          <w:lang w:val="fr-CA"/>
        </w:rPr>
        <w:t>es dossiers de</w:t>
      </w:r>
      <w:r w:rsidRPr="0051022A">
        <w:rPr>
          <w:rFonts w:ascii="Arial" w:hAnsi="Arial" w:cs="Arial"/>
          <w:lang w:val="fr-CA"/>
        </w:rPr>
        <w:t xml:space="preserve"> suspension d</w:t>
      </w:r>
      <w:r w:rsidR="00BB0752">
        <w:rPr>
          <w:rFonts w:ascii="Arial" w:hAnsi="Arial" w:cs="Arial"/>
          <w:lang w:val="fr-CA"/>
        </w:rPr>
        <w:t>u</w:t>
      </w:r>
      <w:r w:rsidRPr="0051022A">
        <w:rPr>
          <w:rFonts w:ascii="Arial" w:hAnsi="Arial" w:cs="Arial"/>
          <w:lang w:val="fr-CA"/>
        </w:rPr>
        <w:t xml:space="preserve"> casier</w:t>
      </w:r>
      <w:r w:rsidR="005854FA" w:rsidRPr="0051022A">
        <w:rPr>
          <w:rFonts w:ascii="Arial" w:hAnsi="Arial" w:cs="Arial"/>
          <w:lang w:val="fr-CA"/>
        </w:rPr>
        <w:t>.</w:t>
      </w:r>
    </w:p>
    <w:p w:rsidR="005854FA" w:rsidRPr="0051022A" w:rsidRDefault="007D761F" w:rsidP="005854FA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Formation de sensibilisation aux cultures autochtones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="00931868" w:rsidRPr="0051022A">
        <w:rPr>
          <w:rFonts w:ascii="Arial" w:hAnsi="Arial" w:cs="Arial"/>
          <w:lang w:val="fr-CA"/>
        </w:rPr>
        <w:t xml:space="preserve">formation obligatoire </w:t>
      </w:r>
      <w:r w:rsidRPr="0051022A">
        <w:rPr>
          <w:rFonts w:ascii="Arial" w:hAnsi="Arial" w:cs="Arial"/>
          <w:lang w:val="fr-CA"/>
        </w:rPr>
        <w:t xml:space="preserve">pour tous les commissaires </w:t>
      </w:r>
      <w:r w:rsidR="005854FA" w:rsidRPr="0051022A">
        <w:rPr>
          <w:rFonts w:ascii="Arial" w:hAnsi="Arial" w:cs="Arial"/>
          <w:lang w:val="fr-CA"/>
        </w:rPr>
        <w:t>(</w:t>
      </w:r>
      <w:r w:rsidRPr="0051022A">
        <w:rPr>
          <w:rFonts w:ascii="Arial" w:hAnsi="Arial" w:cs="Arial"/>
          <w:lang w:val="fr-CA"/>
        </w:rPr>
        <w:t>généralement suivie la première année de leur nomination</w:t>
      </w:r>
      <w:r w:rsidR="005854FA" w:rsidRPr="0051022A">
        <w:rPr>
          <w:rFonts w:ascii="Arial" w:hAnsi="Arial" w:cs="Arial"/>
          <w:lang w:val="fr-CA"/>
        </w:rPr>
        <w:t>). </w:t>
      </w:r>
      <w:r w:rsidR="006A18DB" w:rsidRPr="0051022A">
        <w:rPr>
          <w:rFonts w:ascii="Arial" w:hAnsi="Arial" w:cs="Arial"/>
          <w:lang w:val="fr-CA"/>
        </w:rPr>
        <w:t>Le</w:t>
      </w:r>
      <w:r w:rsidRPr="0051022A">
        <w:rPr>
          <w:rFonts w:ascii="Arial" w:hAnsi="Arial" w:cs="Arial"/>
          <w:lang w:val="fr-CA"/>
        </w:rPr>
        <w:t xml:space="preserve"> but est de comprendre les liens uniques entre les délinquants </w:t>
      </w:r>
      <w:r w:rsidR="00E02048" w:rsidRPr="0051022A">
        <w:rPr>
          <w:rFonts w:ascii="Arial" w:hAnsi="Arial" w:cs="Arial"/>
          <w:lang w:val="fr-CA"/>
        </w:rPr>
        <w:t xml:space="preserve">autochtones </w:t>
      </w:r>
      <w:r w:rsidRPr="0051022A">
        <w:rPr>
          <w:rFonts w:ascii="Arial" w:hAnsi="Arial" w:cs="Arial"/>
          <w:lang w:val="fr-CA"/>
        </w:rPr>
        <w:t xml:space="preserve">et le système de </w:t>
      </w:r>
      <w:r w:rsidR="005854FA" w:rsidRPr="0051022A">
        <w:rPr>
          <w:rFonts w:ascii="Arial" w:hAnsi="Arial" w:cs="Arial"/>
          <w:lang w:val="fr-CA"/>
        </w:rPr>
        <w:t>justice.</w:t>
      </w:r>
    </w:p>
    <w:p w:rsidR="005854FA" w:rsidRPr="0051022A" w:rsidRDefault="00EF2A11" w:rsidP="005854FA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Formation annuelle sur l’évaluation du risque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Pr="0051022A">
        <w:rPr>
          <w:rFonts w:ascii="Arial" w:hAnsi="Arial" w:cs="Arial"/>
          <w:lang w:val="fr-CA"/>
        </w:rPr>
        <w:t xml:space="preserve">formation annuelle pour tous les commissaires comprenant des activités de formation concrète et pratique </w:t>
      </w:r>
      <w:r w:rsidR="00E02048">
        <w:rPr>
          <w:rFonts w:ascii="Arial" w:hAnsi="Arial" w:cs="Arial"/>
          <w:lang w:val="fr-CA"/>
        </w:rPr>
        <w:t>dans les domaines de</w:t>
      </w:r>
      <w:r w:rsidRPr="0051022A">
        <w:rPr>
          <w:rFonts w:ascii="Arial" w:hAnsi="Arial" w:cs="Arial"/>
          <w:lang w:val="fr-CA"/>
        </w:rPr>
        <w:t xml:space="preserve"> l’évaluation du risque, </w:t>
      </w:r>
      <w:r w:rsidR="00E02048">
        <w:rPr>
          <w:rFonts w:ascii="Arial" w:hAnsi="Arial" w:cs="Arial"/>
          <w:lang w:val="fr-CA"/>
        </w:rPr>
        <w:t>d</w:t>
      </w:r>
      <w:r w:rsidR="006A18DB" w:rsidRPr="0051022A">
        <w:rPr>
          <w:rFonts w:ascii="Arial" w:hAnsi="Arial" w:cs="Arial"/>
          <w:lang w:val="fr-CA"/>
        </w:rPr>
        <w:t xml:space="preserve">es </w:t>
      </w:r>
      <w:r w:rsidRPr="0051022A">
        <w:rPr>
          <w:rFonts w:ascii="Arial" w:hAnsi="Arial" w:cs="Arial"/>
          <w:lang w:val="fr-CA"/>
        </w:rPr>
        <w:t xml:space="preserve">techniques d’entrevue et </w:t>
      </w:r>
      <w:r w:rsidR="00E02048">
        <w:rPr>
          <w:rFonts w:ascii="Arial" w:hAnsi="Arial" w:cs="Arial"/>
          <w:lang w:val="fr-CA"/>
        </w:rPr>
        <w:t xml:space="preserve">de </w:t>
      </w:r>
      <w:r w:rsidRPr="0051022A">
        <w:rPr>
          <w:rFonts w:ascii="Arial" w:hAnsi="Arial" w:cs="Arial"/>
          <w:lang w:val="fr-CA"/>
        </w:rPr>
        <w:t>la rédaction des décisions</w:t>
      </w:r>
      <w:r w:rsidR="005854FA" w:rsidRPr="0051022A">
        <w:rPr>
          <w:rFonts w:ascii="Arial" w:hAnsi="Arial" w:cs="Arial"/>
          <w:lang w:val="fr-CA"/>
        </w:rPr>
        <w:t>.</w:t>
      </w:r>
    </w:p>
    <w:p w:rsidR="005854FA" w:rsidRPr="0051022A" w:rsidRDefault="00EF2A11" w:rsidP="00EF2A11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Activités d’apprentissage continu et ateliers conçus par la CLCC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Pr="0051022A">
        <w:rPr>
          <w:rFonts w:ascii="Arial" w:hAnsi="Arial" w:cs="Arial"/>
          <w:lang w:val="fr-CA"/>
        </w:rPr>
        <w:t xml:space="preserve">formation donnée </w:t>
      </w:r>
      <w:r w:rsidR="006A18DB" w:rsidRPr="0051022A">
        <w:rPr>
          <w:rFonts w:ascii="Arial" w:hAnsi="Arial" w:cs="Arial"/>
          <w:lang w:val="fr-CA"/>
        </w:rPr>
        <w:t xml:space="preserve">dans les </w:t>
      </w:r>
      <w:r w:rsidRPr="0051022A">
        <w:rPr>
          <w:rFonts w:ascii="Arial" w:hAnsi="Arial" w:cs="Arial"/>
          <w:lang w:val="fr-CA"/>
        </w:rPr>
        <w:t>région</w:t>
      </w:r>
      <w:r w:rsidR="006A18DB" w:rsidRPr="0051022A">
        <w:rPr>
          <w:rFonts w:ascii="Arial" w:hAnsi="Arial" w:cs="Arial"/>
          <w:lang w:val="fr-CA"/>
        </w:rPr>
        <w:t>s</w:t>
      </w:r>
      <w:r w:rsidRPr="0051022A">
        <w:rPr>
          <w:rFonts w:ascii="Arial" w:hAnsi="Arial" w:cs="Arial"/>
          <w:lang w:val="fr-CA"/>
        </w:rPr>
        <w:t xml:space="preserve"> et élaborée par le SDC ou les divisions régionales pour répondre aux besoins cernés</w:t>
      </w:r>
      <w:r w:rsidR="005854FA" w:rsidRPr="0051022A">
        <w:rPr>
          <w:rFonts w:ascii="Arial" w:hAnsi="Arial" w:cs="Arial"/>
          <w:lang w:val="fr-CA"/>
        </w:rPr>
        <w:t>.</w:t>
      </w:r>
    </w:p>
    <w:p w:rsidR="005854FA" w:rsidRPr="0051022A" w:rsidRDefault="00EF2A11" w:rsidP="005854FA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Activités d'apprentissage indépendantes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="00874865">
        <w:rPr>
          <w:rFonts w:ascii="Arial" w:hAnsi="Arial" w:cs="Arial"/>
          <w:lang w:val="fr-CA"/>
        </w:rPr>
        <w:t xml:space="preserve">comme la participation à des </w:t>
      </w:r>
      <w:r w:rsidR="006A18DB" w:rsidRPr="0051022A">
        <w:rPr>
          <w:rFonts w:ascii="Arial" w:hAnsi="Arial" w:cs="Arial"/>
          <w:lang w:val="fr-CA"/>
        </w:rPr>
        <w:t>conférences et ateliers à l’extérieur de la CLCC</w:t>
      </w:r>
      <w:r w:rsidR="005854FA" w:rsidRPr="0051022A">
        <w:rPr>
          <w:rFonts w:ascii="Arial" w:hAnsi="Arial" w:cs="Arial"/>
          <w:lang w:val="fr-CA"/>
        </w:rPr>
        <w:t>.</w:t>
      </w:r>
    </w:p>
    <w:p w:rsidR="005854FA" w:rsidRDefault="006A18DB" w:rsidP="006A18DB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  <w:lang w:val="fr-CA"/>
        </w:rPr>
      </w:pPr>
      <w:r w:rsidRPr="0051022A">
        <w:rPr>
          <w:rFonts w:ascii="Arial" w:hAnsi="Arial" w:cs="Arial"/>
          <w:lang w:val="fr-CA"/>
        </w:rPr>
        <w:t xml:space="preserve">Échanges interrégionaux de commissaires </w:t>
      </w:r>
      <w:r w:rsidR="005854FA" w:rsidRPr="0051022A">
        <w:rPr>
          <w:rFonts w:ascii="Arial" w:hAnsi="Arial" w:cs="Arial"/>
          <w:lang w:val="fr-CA"/>
        </w:rPr>
        <w:t xml:space="preserve">– </w:t>
      </w:r>
      <w:r w:rsidRPr="0051022A">
        <w:rPr>
          <w:rFonts w:ascii="Arial" w:hAnsi="Arial" w:cs="Arial"/>
          <w:lang w:val="fr-CA"/>
        </w:rPr>
        <w:t>les commissaires peuvent être affectés temporairement dans une autre région à des fins d’apprentissage</w:t>
      </w:r>
      <w:r w:rsidR="001C727C" w:rsidRPr="0051022A">
        <w:rPr>
          <w:rFonts w:ascii="Arial" w:hAnsi="Arial" w:cs="Arial"/>
          <w:lang w:val="fr-CA"/>
        </w:rPr>
        <w:t>.</w:t>
      </w:r>
      <w:r w:rsidR="001C727C" w:rsidRPr="0051022A">
        <w:rPr>
          <w:rFonts w:ascii="Arial" w:hAnsi="Arial" w:cs="Arial"/>
          <w:lang w:val="fr-CA"/>
        </w:rPr>
        <w:br/>
      </w:r>
    </w:p>
    <w:p w:rsidR="00C41375" w:rsidRDefault="00C41375" w:rsidP="00C41375">
      <w:pPr>
        <w:spacing w:after="120"/>
        <w:rPr>
          <w:rFonts w:ascii="Arial" w:hAnsi="Arial" w:cs="Arial"/>
          <w:lang w:val="fr-CA"/>
        </w:rPr>
      </w:pPr>
    </w:p>
    <w:p w:rsidR="00C41375" w:rsidRPr="00C41375" w:rsidRDefault="00C41375" w:rsidP="00C41375">
      <w:pPr>
        <w:spacing w:after="120"/>
        <w:rPr>
          <w:rFonts w:ascii="Arial" w:hAnsi="Arial" w:cs="Arial"/>
          <w:lang w:val="fr-CA"/>
        </w:rPr>
      </w:pPr>
    </w:p>
    <w:p w:rsidR="005854FA" w:rsidRPr="0051022A" w:rsidRDefault="005854FA" w:rsidP="005854F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--------------------------------------</w:t>
      </w:r>
      <w:r w:rsidRPr="0051022A">
        <w:rPr>
          <w:rFonts w:ascii="Arial" w:hAnsi="Arial" w:cs="Arial"/>
          <w:szCs w:val="22"/>
          <w:lang w:val="fr-CA"/>
        </w:rPr>
        <w:br/>
      </w:r>
    </w:p>
    <w:p w:rsidR="00C41375" w:rsidRDefault="00C41375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C41375" w:rsidRDefault="00C41375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C41375" w:rsidRDefault="00C41375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C41375" w:rsidRDefault="00C41375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E513A7" w:rsidRPr="0051022A" w:rsidRDefault="00E513A7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lastRenderedPageBreak/>
        <w:t>Question</w:t>
      </w:r>
    </w:p>
    <w:p w:rsidR="00E513A7" w:rsidRPr="0051022A" w:rsidRDefault="00EF2A11" w:rsidP="00E513A7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 xml:space="preserve">Réflexion sur </w:t>
      </w:r>
      <w:r w:rsidR="00D6185F" w:rsidRPr="0051022A">
        <w:rPr>
          <w:rFonts w:ascii="Arial" w:hAnsi="Arial" w:cs="Arial"/>
          <w:szCs w:val="22"/>
          <w:lang w:val="fr-CA"/>
        </w:rPr>
        <w:t xml:space="preserve">ce qui motive les </w:t>
      </w:r>
      <w:r w:rsidRPr="0051022A">
        <w:rPr>
          <w:rFonts w:ascii="Arial" w:hAnsi="Arial" w:cs="Arial"/>
          <w:szCs w:val="22"/>
          <w:lang w:val="fr-CA"/>
        </w:rPr>
        <w:t>prisonniers noirs à ne pas demander de libération conditionnelle</w:t>
      </w:r>
      <w:r w:rsidR="00874865">
        <w:rPr>
          <w:rFonts w:ascii="Arial" w:hAnsi="Arial" w:cs="Arial"/>
          <w:szCs w:val="22"/>
          <w:lang w:val="fr-CA"/>
        </w:rPr>
        <w:t>.</w:t>
      </w:r>
    </w:p>
    <w:p w:rsidR="00E513A7" w:rsidRPr="0051022A" w:rsidRDefault="00E513A7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  <w:r w:rsidRPr="0051022A">
        <w:rPr>
          <w:rFonts w:ascii="Arial" w:hAnsi="Arial" w:cs="Arial"/>
          <w:b/>
          <w:szCs w:val="22"/>
          <w:lang w:val="fr-CA"/>
        </w:rPr>
        <w:br/>
        <w:t>R</w:t>
      </w:r>
      <w:r w:rsidR="00EF2A11" w:rsidRPr="0051022A">
        <w:rPr>
          <w:rFonts w:ascii="Arial" w:hAnsi="Arial" w:cs="Arial"/>
          <w:b/>
          <w:szCs w:val="22"/>
          <w:lang w:val="fr-CA"/>
        </w:rPr>
        <w:t>é</w:t>
      </w:r>
      <w:r w:rsidRPr="0051022A">
        <w:rPr>
          <w:rFonts w:ascii="Arial" w:hAnsi="Arial" w:cs="Arial"/>
          <w:b/>
          <w:szCs w:val="22"/>
          <w:lang w:val="fr-CA"/>
        </w:rPr>
        <w:t>ponse</w:t>
      </w:r>
    </w:p>
    <w:p w:rsidR="00176C1A" w:rsidRPr="0051022A" w:rsidRDefault="006A18DB" w:rsidP="00176C1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Les politiques de la Commission des libérations conditionnelles du Canada</w:t>
      </w:r>
      <w:r w:rsidR="00176C1A" w:rsidRPr="0051022A">
        <w:rPr>
          <w:rFonts w:ascii="Arial" w:hAnsi="Arial" w:cs="Arial"/>
          <w:szCs w:val="22"/>
          <w:lang w:val="fr-CA"/>
        </w:rPr>
        <w:t xml:space="preserve"> (</w:t>
      </w:r>
      <w:r w:rsidRPr="0051022A">
        <w:rPr>
          <w:rFonts w:ascii="Arial" w:hAnsi="Arial" w:cs="Arial"/>
          <w:szCs w:val="22"/>
          <w:lang w:val="fr-CA"/>
        </w:rPr>
        <w:t>CLCC</w:t>
      </w:r>
      <w:r w:rsidR="00176C1A" w:rsidRPr="0051022A">
        <w:rPr>
          <w:rFonts w:ascii="Arial" w:hAnsi="Arial" w:cs="Arial"/>
          <w:szCs w:val="22"/>
          <w:lang w:val="fr-CA"/>
        </w:rPr>
        <w:t xml:space="preserve">) </w:t>
      </w:r>
      <w:r w:rsidRPr="0051022A">
        <w:rPr>
          <w:rFonts w:ascii="Arial" w:hAnsi="Arial" w:cs="Arial"/>
          <w:szCs w:val="22"/>
          <w:lang w:val="fr-CA"/>
        </w:rPr>
        <w:t xml:space="preserve">doivent respecter les différences ethniques, culturelles et linguistiques, ainsi qu’entre les sexes, et tenir compte des besoins propres aux femmes, aux </w:t>
      </w:r>
      <w:r w:rsidR="00A84410" w:rsidRPr="0051022A">
        <w:rPr>
          <w:rFonts w:ascii="Arial" w:hAnsi="Arial" w:cs="Arial"/>
          <w:szCs w:val="22"/>
          <w:lang w:val="fr-CA"/>
        </w:rPr>
        <w:t>A</w:t>
      </w:r>
      <w:r w:rsidRPr="0051022A">
        <w:rPr>
          <w:rFonts w:ascii="Arial" w:hAnsi="Arial" w:cs="Arial"/>
          <w:szCs w:val="22"/>
          <w:lang w:val="fr-CA"/>
        </w:rPr>
        <w:t>utochtones et à d’autres groupes</w:t>
      </w:r>
      <w:r w:rsidR="00A84410" w:rsidRPr="0051022A">
        <w:rPr>
          <w:rFonts w:ascii="Arial" w:hAnsi="Arial" w:cs="Arial"/>
          <w:szCs w:val="22"/>
          <w:lang w:val="fr-CA"/>
        </w:rPr>
        <w:t xml:space="preserve"> de délinquants ayant des besoins</w:t>
      </w:r>
      <w:r w:rsidRPr="0051022A">
        <w:rPr>
          <w:rFonts w:ascii="Arial" w:hAnsi="Arial" w:cs="Arial"/>
          <w:szCs w:val="22"/>
          <w:lang w:val="fr-CA"/>
        </w:rPr>
        <w:t xml:space="preserve"> particuliers</w:t>
      </w:r>
      <w:r w:rsidR="00176C1A" w:rsidRPr="0051022A">
        <w:rPr>
          <w:rFonts w:ascii="Arial" w:hAnsi="Arial" w:cs="Arial"/>
          <w:szCs w:val="22"/>
          <w:lang w:val="fr-CA"/>
        </w:rPr>
        <w:t xml:space="preserve">. </w:t>
      </w:r>
      <w:r w:rsidR="006A56CB" w:rsidRPr="0051022A">
        <w:rPr>
          <w:rFonts w:ascii="Arial" w:hAnsi="Arial" w:cs="Arial"/>
          <w:szCs w:val="22"/>
          <w:lang w:val="fr-CA"/>
        </w:rPr>
        <w:t xml:space="preserve">Lorsqu’elle rend </w:t>
      </w:r>
      <w:r w:rsidR="00D238C8">
        <w:rPr>
          <w:rFonts w:ascii="Arial" w:hAnsi="Arial" w:cs="Arial"/>
          <w:szCs w:val="22"/>
          <w:lang w:val="fr-CA"/>
        </w:rPr>
        <w:t>des</w:t>
      </w:r>
      <w:r w:rsidR="00D238C8" w:rsidRPr="0051022A">
        <w:rPr>
          <w:rFonts w:ascii="Arial" w:hAnsi="Arial" w:cs="Arial"/>
          <w:szCs w:val="22"/>
          <w:lang w:val="fr-CA"/>
        </w:rPr>
        <w:t xml:space="preserve"> </w:t>
      </w:r>
      <w:r w:rsidR="006A56CB" w:rsidRPr="0051022A">
        <w:rPr>
          <w:rFonts w:ascii="Arial" w:hAnsi="Arial" w:cs="Arial"/>
          <w:szCs w:val="22"/>
          <w:lang w:val="fr-CA"/>
        </w:rPr>
        <w:t>décision</w:t>
      </w:r>
      <w:r w:rsidR="00D238C8">
        <w:rPr>
          <w:rFonts w:ascii="Arial" w:hAnsi="Arial" w:cs="Arial"/>
          <w:szCs w:val="22"/>
          <w:lang w:val="fr-CA"/>
        </w:rPr>
        <w:t>s</w:t>
      </w:r>
      <w:r w:rsidR="006A56CB" w:rsidRPr="0051022A">
        <w:rPr>
          <w:rFonts w:ascii="Arial" w:hAnsi="Arial" w:cs="Arial"/>
          <w:szCs w:val="22"/>
          <w:lang w:val="fr-CA"/>
        </w:rPr>
        <w:t xml:space="preserve"> sur la mise en liberté sous condition</w:t>
      </w:r>
      <w:r w:rsidR="00176C1A" w:rsidRPr="0051022A">
        <w:rPr>
          <w:rFonts w:ascii="Arial" w:hAnsi="Arial" w:cs="Arial"/>
          <w:szCs w:val="22"/>
          <w:lang w:val="fr-CA"/>
        </w:rPr>
        <w:t xml:space="preserve">, </w:t>
      </w:r>
      <w:r w:rsidR="006A56CB" w:rsidRPr="0051022A">
        <w:rPr>
          <w:rFonts w:ascii="Arial" w:hAnsi="Arial" w:cs="Arial"/>
          <w:szCs w:val="22"/>
          <w:lang w:val="fr-CA"/>
        </w:rPr>
        <w:t>la CLCC tient compte de facteurs systémiques ou historiques ayant pu contribuer aux démêlés du délinquant avec le système de justice pénale</w:t>
      </w:r>
      <w:r w:rsidR="00176C1A" w:rsidRPr="0051022A">
        <w:rPr>
          <w:rFonts w:ascii="Arial" w:hAnsi="Arial" w:cs="Arial"/>
          <w:szCs w:val="22"/>
          <w:lang w:val="fr-CA"/>
        </w:rPr>
        <w:t>.</w:t>
      </w:r>
      <w:r w:rsidR="006A56CB" w:rsidRPr="0051022A">
        <w:rPr>
          <w:rFonts w:ascii="Verdana" w:hAnsi="Verdana"/>
          <w:sz w:val="19"/>
          <w:szCs w:val="19"/>
          <w:lang w:val="fr-CA"/>
        </w:rPr>
        <w:t xml:space="preserve"> </w:t>
      </w:r>
    </w:p>
    <w:p w:rsidR="006A56CB" w:rsidRPr="0051022A" w:rsidRDefault="006A56CB" w:rsidP="00176C1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Les délinquants qui estiment n’avoir aucune chance d’obtenir une libération conditionnelle ont moins tendance à en faire la demande</w:t>
      </w:r>
      <w:r w:rsidR="006F7B8D">
        <w:rPr>
          <w:rFonts w:ascii="Arial" w:hAnsi="Arial" w:cs="Arial"/>
          <w:szCs w:val="22"/>
          <w:lang w:val="fr-CA"/>
        </w:rPr>
        <w:t>,</w:t>
      </w:r>
      <w:r w:rsidRPr="0051022A">
        <w:rPr>
          <w:rFonts w:ascii="Arial" w:hAnsi="Arial" w:cs="Arial"/>
          <w:szCs w:val="22"/>
          <w:lang w:val="fr-CA"/>
        </w:rPr>
        <w:t xml:space="preserve"> ou ont plus tendance à renoncer à l’examen de leur dossier en vue d’une </w:t>
      </w:r>
      <w:r w:rsidR="0051022A" w:rsidRPr="0051022A">
        <w:rPr>
          <w:rFonts w:ascii="Arial" w:hAnsi="Arial" w:cs="Arial"/>
          <w:szCs w:val="22"/>
          <w:lang w:val="fr-CA"/>
        </w:rPr>
        <w:t xml:space="preserve">telle </w:t>
      </w:r>
      <w:r w:rsidRPr="0051022A">
        <w:rPr>
          <w:rFonts w:ascii="Arial" w:hAnsi="Arial" w:cs="Arial"/>
          <w:szCs w:val="22"/>
          <w:lang w:val="fr-CA"/>
        </w:rPr>
        <w:t xml:space="preserve">libération. Pour régler ce problème, la CLCC, avec </w:t>
      </w:r>
      <w:r w:rsidR="00805EAF" w:rsidRPr="0051022A">
        <w:rPr>
          <w:rFonts w:ascii="Arial" w:hAnsi="Arial" w:cs="Arial"/>
          <w:szCs w:val="22"/>
          <w:lang w:val="fr-CA"/>
        </w:rPr>
        <w:t xml:space="preserve">l’aide du </w:t>
      </w:r>
      <w:r w:rsidRPr="0051022A">
        <w:rPr>
          <w:rFonts w:ascii="Arial" w:hAnsi="Arial" w:cs="Arial"/>
          <w:szCs w:val="22"/>
          <w:lang w:val="fr-CA"/>
        </w:rPr>
        <w:t xml:space="preserve">Service correctionnel du Canada (SCC), examinera </w:t>
      </w:r>
      <w:r w:rsidR="00805EAF" w:rsidRPr="0051022A">
        <w:rPr>
          <w:rFonts w:ascii="Arial" w:hAnsi="Arial" w:cs="Arial"/>
          <w:szCs w:val="22"/>
          <w:lang w:val="fr-CA"/>
        </w:rPr>
        <w:t>ce qui pourrait être fait pour qu’il y ait moins</w:t>
      </w:r>
      <w:r w:rsidRPr="0051022A">
        <w:rPr>
          <w:rFonts w:ascii="Arial" w:hAnsi="Arial" w:cs="Arial"/>
          <w:szCs w:val="22"/>
          <w:lang w:val="fr-CA"/>
        </w:rPr>
        <w:t xml:space="preserve"> de délinquants noirs qui renoncent </w:t>
      </w:r>
      <w:r w:rsidR="00805EAF" w:rsidRPr="0051022A">
        <w:rPr>
          <w:rFonts w:ascii="Arial" w:hAnsi="Arial" w:cs="Arial"/>
          <w:szCs w:val="22"/>
          <w:lang w:val="fr-CA"/>
        </w:rPr>
        <w:t>à l’examen de leur dossier en vue d’une libération conditionnelle</w:t>
      </w:r>
      <w:r w:rsidRPr="0051022A">
        <w:rPr>
          <w:rFonts w:ascii="Arial" w:hAnsi="Arial" w:cs="Arial"/>
          <w:szCs w:val="22"/>
          <w:lang w:val="fr-CA"/>
        </w:rPr>
        <w:t xml:space="preserve">. La CLCC examinera également les </w:t>
      </w:r>
      <w:r w:rsidR="00805EAF" w:rsidRPr="0051022A">
        <w:rPr>
          <w:rFonts w:ascii="Arial" w:hAnsi="Arial" w:cs="Arial"/>
          <w:szCs w:val="22"/>
          <w:lang w:val="fr-CA"/>
        </w:rPr>
        <w:t>façons d’améliorer les</w:t>
      </w:r>
      <w:r w:rsidRPr="0051022A">
        <w:rPr>
          <w:rFonts w:ascii="Arial" w:hAnsi="Arial" w:cs="Arial"/>
          <w:szCs w:val="22"/>
          <w:lang w:val="fr-CA"/>
        </w:rPr>
        <w:t xml:space="preserve"> services actuellement offerts aux détenus dans les établissements</w:t>
      </w:r>
      <w:r w:rsidR="00805EAF" w:rsidRPr="0051022A">
        <w:rPr>
          <w:rFonts w:ascii="Arial" w:hAnsi="Arial" w:cs="Arial"/>
          <w:szCs w:val="22"/>
          <w:lang w:val="fr-CA"/>
        </w:rPr>
        <w:t>, ainsi que</w:t>
      </w:r>
      <w:r w:rsidRPr="0051022A">
        <w:rPr>
          <w:rFonts w:ascii="Arial" w:hAnsi="Arial" w:cs="Arial"/>
          <w:szCs w:val="22"/>
          <w:lang w:val="fr-CA"/>
        </w:rPr>
        <w:t xml:space="preserve"> les facteurs de stress que les décideurs doivent prendre en considération lorsqu'ils </w:t>
      </w:r>
      <w:r w:rsidR="00D6185F" w:rsidRPr="0051022A">
        <w:rPr>
          <w:rFonts w:ascii="Arial" w:hAnsi="Arial" w:cs="Arial"/>
          <w:szCs w:val="22"/>
          <w:lang w:val="fr-CA"/>
        </w:rPr>
        <w:t>accordent</w:t>
      </w:r>
      <w:r w:rsidRPr="0051022A">
        <w:rPr>
          <w:rFonts w:ascii="Arial" w:hAnsi="Arial" w:cs="Arial"/>
          <w:szCs w:val="22"/>
          <w:lang w:val="fr-CA"/>
        </w:rPr>
        <w:t xml:space="preserve"> la libération conditionnelle. La CLCC étudiera également, </w:t>
      </w:r>
      <w:r w:rsidR="00805EAF" w:rsidRPr="0051022A">
        <w:rPr>
          <w:rFonts w:ascii="Arial" w:hAnsi="Arial" w:cs="Arial"/>
          <w:szCs w:val="22"/>
          <w:lang w:val="fr-CA"/>
        </w:rPr>
        <w:t>avec la collaboration du</w:t>
      </w:r>
      <w:r w:rsidRPr="0051022A">
        <w:rPr>
          <w:rFonts w:ascii="Arial" w:hAnsi="Arial" w:cs="Arial"/>
          <w:szCs w:val="22"/>
          <w:lang w:val="fr-CA"/>
        </w:rPr>
        <w:t xml:space="preserve"> SCC et </w:t>
      </w:r>
      <w:r w:rsidR="00805EAF" w:rsidRPr="0051022A">
        <w:rPr>
          <w:rFonts w:ascii="Arial" w:hAnsi="Arial" w:cs="Arial"/>
          <w:szCs w:val="22"/>
          <w:lang w:val="fr-CA"/>
        </w:rPr>
        <w:t xml:space="preserve">de </w:t>
      </w:r>
      <w:r w:rsidRPr="0051022A">
        <w:rPr>
          <w:rFonts w:ascii="Arial" w:hAnsi="Arial" w:cs="Arial"/>
          <w:szCs w:val="22"/>
          <w:lang w:val="fr-CA"/>
        </w:rPr>
        <w:t xml:space="preserve">ses partenaires </w:t>
      </w:r>
      <w:r w:rsidR="00805EAF" w:rsidRPr="0051022A">
        <w:rPr>
          <w:rFonts w:ascii="Arial" w:hAnsi="Arial" w:cs="Arial"/>
          <w:szCs w:val="22"/>
          <w:lang w:val="fr-CA"/>
        </w:rPr>
        <w:t>dans la collectivité</w:t>
      </w:r>
      <w:r w:rsidRPr="0051022A">
        <w:rPr>
          <w:rFonts w:ascii="Arial" w:hAnsi="Arial" w:cs="Arial"/>
          <w:szCs w:val="22"/>
          <w:lang w:val="fr-CA"/>
        </w:rPr>
        <w:t xml:space="preserve">, </w:t>
      </w:r>
      <w:r w:rsidR="00805EAF" w:rsidRPr="0051022A">
        <w:rPr>
          <w:rFonts w:ascii="Arial" w:hAnsi="Arial" w:cs="Arial"/>
          <w:szCs w:val="22"/>
          <w:lang w:val="fr-CA"/>
        </w:rPr>
        <w:t>comment élaborer de solides</w:t>
      </w:r>
      <w:r w:rsidRPr="0051022A">
        <w:rPr>
          <w:rFonts w:ascii="Arial" w:hAnsi="Arial" w:cs="Arial"/>
          <w:szCs w:val="22"/>
          <w:lang w:val="fr-CA"/>
        </w:rPr>
        <w:t xml:space="preserve"> plans de mise en liberté pour </w:t>
      </w:r>
      <w:r w:rsidR="0051022A" w:rsidRPr="0051022A">
        <w:rPr>
          <w:rFonts w:ascii="Arial" w:hAnsi="Arial" w:cs="Arial"/>
          <w:szCs w:val="22"/>
          <w:lang w:val="fr-CA"/>
        </w:rPr>
        <w:t xml:space="preserve">que </w:t>
      </w:r>
      <w:r w:rsidRPr="0051022A">
        <w:rPr>
          <w:rFonts w:ascii="Arial" w:hAnsi="Arial" w:cs="Arial"/>
          <w:szCs w:val="22"/>
          <w:lang w:val="fr-CA"/>
        </w:rPr>
        <w:t xml:space="preserve">les délinquants noirs </w:t>
      </w:r>
      <w:r w:rsidR="00805EAF" w:rsidRPr="0051022A">
        <w:rPr>
          <w:rFonts w:ascii="Arial" w:hAnsi="Arial" w:cs="Arial"/>
          <w:szCs w:val="22"/>
          <w:lang w:val="fr-CA"/>
        </w:rPr>
        <w:t>aient plus</w:t>
      </w:r>
      <w:r w:rsidRPr="0051022A">
        <w:rPr>
          <w:rFonts w:ascii="Arial" w:hAnsi="Arial" w:cs="Arial"/>
          <w:szCs w:val="22"/>
          <w:lang w:val="fr-CA"/>
        </w:rPr>
        <w:t xml:space="preserve"> confiance dans </w:t>
      </w:r>
      <w:r w:rsidR="0051022A" w:rsidRPr="0051022A">
        <w:rPr>
          <w:rFonts w:ascii="Arial" w:hAnsi="Arial" w:cs="Arial"/>
          <w:szCs w:val="22"/>
          <w:lang w:val="fr-CA"/>
        </w:rPr>
        <w:t>leur possibilité d’obtenir</w:t>
      </w:r>
      <w:r w:rsidR="00634323" w:rsidRPr="0051022A">
        <w:rPr>
          <w:rFonts w:ascii="Arial" w:hAnsi="Arial" w:cs="Arial"/>
          <w:szCs w:val="22"/>
          <w:lang w:val="fr-CA"/>
        </w:rPr>
        <w:t xml:space="preserve"> une</w:t>
      </w:r>
      <w:r w:rsidRPr="0051022A">
        <w:rPr>
          <w:rFonts w:ascii="Arial" w:hAnsi="Arial" w:cs="Arial"/>
          <w:szCs w:val="22"/>
          <w:lang w:val="fr-CA"/>
        </w:rPr>
        <w:t xml:space="preserve"> libération conditionnelle</w:t>
      </w:r>
      <w:r w:rsidR="00634323" w:rsidRPr="0051022A">
        <w:rPr>
          <w:rFonts w:ascii="Arial" w:hAnsi="Arial" w:cs="Arial"/>
          <w:szCs w:val="22"/>
          <w:lang w:val="fr-CA"/>
        </w:rPr>
        <w:t>.</w:t>
      </w:r>
      <w:r w:rsidRPr="0051022A">
        <w:rPr>
          <w:rFonts w:ascii="Arial" w:hAnsi="Arial" w:cs="Arial"/>
          <w:szCs w:val="22"/>
          <w:lang w:val="fr-CA"/>
        </w:rPr>
        <w:t xml:space="preserve"> </w:t>
      </w:r>
    </w:p>
    <w:p w:rsidR="00A41372" w:rsidRDefault="00634323" w:rsidP="00176C1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La CLCC se renseignera aussi sur les besoins particuliers des délinquants noirs, afin d’améliorer leur expérience aux audiences. Une meilleure expérience</w:t>
      </w:r>
      <w:r w:rsidR="00D238C8">
        <w:rPr>
          <w:rFonts w:ascii="Arial" w:hAnsi="Arial" w:cs="Arial"/>
          <w:szCs w:val="22"/>
          <w:lang w:val="fr-CA"/>
        </w:rPr>
        <w:t xml:space="preserve"> d’audience</w:t>
      </w:r>
      <w:r w:rsidRPr="0051022A">
        <w:rPr>
          <w:rFonts w:ascii="Arial" w:hAnsi="Arial" w:cs="Arial"/>
          <w:szCs w:val="22"/>
          <w:lang w:val="fr-CA"/>
        </w:rPr>
        <w:t xml:space="preserve">, même si le résultat est négatif, </w:t>
      </w:r>
      <w:r w:rsidR="0051022A" w:rsidRPr="0051022A">
        <w:rPr>
          <w:rFonts w:ascii="Arial" w:hAnsi="Arial" w:cs="Arial"/>
          <w:szCs w:val="22"/>
          <w:lang w:val="fr-CA"/>
        </w:rPr>
        <w:t>peut</w:t>
      </w:r>
      <w:r w:rsidRPr="0051022A">
        <w:rPr>
          <w:rFonts w:ascii="Arial" w:hAnsi="Arial" w:cs="Arial"/>
          <w:szCs w:val="22"/>
          <w:lang w:val="fr-CA"/>
        </w:rPr>
        <w:t xml:space="preserve"> faire en sorte qu’ils soient moins nombreux à renoncer à l’examen de leur dossier en vue d’une libération conditionnelle</w:t>
      </w:r>
      <w:r w:rsidR="00176C1A" w:rsidRPr="0051022A">
        <w:rPr>
          <w:rFonts w:ascii="Arial" w:hAnsi="Arial" w:cs="Arial"/>
          <w:szCs w:val="22"/>
          <w:lang w:val="fr-CA"/>
        </w:rPr>
        <w:t>.</w:t>
      </w:r>
    </w:p>
    <w:p w:rsidR="00C41375" w:rsidRDefault="00C41375" w:rsidP="00176C1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</w:p>
    <w:p w:rsidR="00C41375" w:rsidRPr="0051022A" w:rsidRDefault="00C41375" w:rsidP="00176C1A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bookmarkStart w:id="0" w:name="_GoBack"/>
      <w:bookmarkEnd w:id="0"/>
    </w:p>
    <w:p w:rsidR="00A41372" w:rsidRPr="0051022A" w:rsidRDefault="00A41372" w:rsidP="00A41372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  <w:r w:rsidRPr="0051022A">
        <w:rPr>
          <w:rFonts w:ascii="Arial" w:hAnsi="Arial" w:cs="Arial"/>
          <w:szCs w:val="22"/>
          <w:lang w:val="fr-CA"/>
        </w:rPr>
        <w:t>--------------------------------------</w:t>
      </w:r>
      <w:r w:rsidRPr="0051022A">
        <w:rPr>
          <w:rFonts w:ascii="Arial" w:hAnsi="Arial" w:cs="Arial"/>
          <w:szCs w:val="22"/>
          <w:lang w:val="fr-CA"/>
        </w:rPr>
        <w:br/>
      </w:r>
    </w:p>
    <w:p w:rsidR="00E513A7" w:rsidRPr="0051022A" w:rsidRDefault="00E513A7" w:rsidP="00143849">
      <w:pPr>
        <w:pStyle w:val="NormalWeb"/>
        <w:spacing w:line="240" w:lineRule="auto"/>
        <w:rPr>
          <w:rFonts w:ascii="Arial" w:hAnsi="Arial" w:cs="Arial"/>
          <w:szCs w:val="22"/>
          <w:lang w:val="fr-CA"/>
        </w:rPr>
      </w:pPr>
    </w:p>
    <w:p w:rsidR="00E513A7" w:rsidRPr="0051022A" w:rsidRDefault="00E513A7" w:rsidP="00E513A7">
      <w:pPr>
        <w:pStyle w:val="NormalWeb"/>
        <w:spacing w:line="240" w:lineRule="auto"/>
        <w:rPr>
          <w:rFonts w:ascii="Arial" w:hAnsi="Arial" w:cs="Arial"/>
          <w:b/>
          <w:szCs w:val="22"/>
          <w:lang w:val="fr-CA"/>
        </w:rPr>
      </w:pPr>
    </w:p>
    <w:p w:rsidR="0058698F" w:rsidRPr="0051022A" w:rsidRDefault="0058698F" w:rsidP="00226CF6">
      <w:pPr>
        <w:rPr>
          <w:lang w:val="fr-CA"/>
        </w:rPr>
      </w:pPr>
    </w:p>
    <w:sectPr w:rsidR="0058698F" w:rsidRPr="0051022A" w:rsidSect="001C727C">
      <w:pgSz w:w="12240" w:h="15840"/>
      <w:pgMar w:top="1135" w:right="1803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6CB"/>
    <w:multiLevelType w:val="hybridMultilevel"/>
    <w:tmpl w:val="2B62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334"/>
    <w:multiLevelType w:val="hybridMultilevel"/>
    <w:tmpl w:val="45CAB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F60"/>
    <w:multiLevelType w:val="hybridMultilevel"/>
    <w:tmpl w:val="F2184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16E4"/>
    <w:multiLevelType w:val="hybridMultilevel"/>
    <w:tmpl w:val="BC3E3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B1B31"/>
    <w:multiLevelType w:val="hybridMultilevel"/>
    <w:tmpl w:val="B1B64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111BA"/>
    <w:multiLevelType w:val="hybridMultilevel"/>
    <w:tmpl w:val="9DAC3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3"/>
    <w:rsid w:val="000132B0"/>
    <w:rsid w:val="000132D8"/>
    <w:rsid w:val="000171F5"/>
    <w:rsid w:val="00023F72"/>
    <w:rsid w:val="00024882"/>
    <w:rsid w:val="00055BF6"/>
    <w:rsid w:val="00055D1F"/>
    <w:rsid w:val="0006676F"/>
    <w:rsid w:val="0008006F"/>
    <w:rsid w:val="0008359E"/>
    <w:rsid w:val="000D3A7C"/>
    <w:rsid w:val="000E2654"/>
    <w:rsid w:val="000E3A8D"/>
    <w:rsid w:val="00103D8D"/>
    <w:rsid w:val="00104C62"/>
    <w:rsid w:val="00105313"/>
    <w:rsid w:val="00123A68"/>
    <w:rsid w:val="00127DFF"/>
    <w:rsid w:val="00143849"/>
    <w:rsid w:val="001708A1"/>
    <w:rsid w:val="00175782"/>
    <w:rsid w:val="001758C1"/>
    <w:rsid w:val="00176C1A"/>
    <w:rsid w:val="00177557"/>
    <w:rsid w:val="0018495B"/>
    <w:rsid w:val="001930EC"/>
    <w:rsid w:val="001A7BD2"/>
    <w:rsid w:val="001B08AD"/>
    <w:rsid w:val="001B1510"/>
    <w:rsid w:val="001C727C"/>
    <w:rsid w:val="001D0B62"/>
    <w:rsid w:val="001D7807"/>
    <w:rsid w:val="0020478A"/>
    <w:rsid w:val="00210679"/>
    <w:rsid w:val="0022535B"/>
    <w:rsid w:val="00226CF6"/>
    <w:rsid w:val="002403E8"/>
    <w:rsid w:val="00240BA5"/>
    <w:rsid w:val="002512EA"/>
    <w:rsid w:val="00262F61"/>
    <w:rsid w:val="00280CEB"/>
    <w:rsid w:val="00287344"/>
    <w:rsid w:val="002B75CA"/>
    <w:rsid w:val="00306855"/>
    <w:rsid w:val="00331196"/>
    <w:rsid w:val="00334ACE"/>
    <w:rsid w:val="003418AF"/>
    <w:rsid w:val="0035220C"/>
    <w:rsid w:val="003606B5"/>
    <w:rsid w:val="00371373"/>
    <w:rsid w:val="00374729"/>
    <w:rsid w:val="00393838"/>
    <w:rsid w:val="003955F8"/>
    <w:rsid w:val="003964CB"/>
    <w:rsid w:val="003E31D7"/>
    <w:rsid w:val="00401241"/>
    <w:rsid w:val="00425AF9"/>
    <w:rsid w:val="00440561"/>
    <w:rsid w:val="00452E3E"/>
    <w:rsid w:val="0049435B"/>
    <w:rsid w:val="004A262E"/>
    <w:rsid w:val="004E27EF"/>
    <w:rsid w:val="004E6CA5"/>
    <w:rsid w:val="004F4E47"/>
    <w:rsid w:val="00505837"/>
    <w:rsid w:val="0051022A"/>
    <w:rsid w:val="005243B1"/>
    <w:rsid w:val="005821AD"/>
    <w:rsid w:val="005854FA"/>
    <w:rsid w:val="0058698F"/>
    <w:rsid w:val="00593061"/>
    <w:rsid w:val="005C130C"/>
    <w:rsid w:val="005D5A3B"/>
    <w:rsid w:val="005E313F"/>
    <w:rsid w:val="00605F47"/>
    <w:rsid w:val="00606A7F"/>
    <w:rsid w:val="00634323"/>
    <w:rsid w:val="0064009D"/>
    <w:rsid w:val="0067644C"/>
    <w:rsid w:val="00681715"/>
    <w:rsid w:val="006A18DB"/>
    <w:rsid w:val="006A56CB"/>
    <w:rsid w:val="006D15C9"/>
    <w:rsid w:val="006E428A"/>
    <w:rsid w:val="006F77CB"/>
    <w:rsid w:val="006F7B8D"/>
    <w:rsid w:val="00707E7A"/>
    <w:rsid w:val="00744C3C"/>
    <w:rsid w:val="007735C1"/>
    <w:rsid w:val="00785B4A"/>
    <w:rsid w:val="007A4E73"/>
    <w:rsid w:val="007D761F"/>
    <w:rsid w:val="007F4613"/>
    <w:rsid w:val="00805EAF"/>
    <w:rsid w:val="00811075"/>
    <w:rsid w:val="00811ED1"/>
    <w:rsid w:val="008379B4"/>
    <w:rsid w:val="00841DF3"/>
    <w:rsid w:val="008422F5"/>
    <w:rsid w:val="0084729D"/>
    <w:rsid w:val="00861E63"/>
    <w:rsid w:val="00874865"/>
    <w:rsid w:val="00882D16"/>
    <w:rsid w:val="00884037"/>
    <w:rsid w:val="008C47DF"/>
    <w:rsid w:val="008D7FF2"/>
    <w:rsid w:val="008F7191"/>
    <w:rsid w:val="009051E6"/>
    <w:rsid w:val="009244B9"/>
    <w:rsid w:val="009277DD"/>
    <w:rsid w:val="00930542"/>
    <w:rsid w:val="00931470"/>
    <w:rsid w:val="00931868"/>
    <w:rsid w:val="009634B7"/>
    <w:rsid w:val="00973CC0"/>
    <w:rsid w:val="0098436D"/>
    <w:rsid w:val="00991161"/>
    <w:rsid w:val="009D2D4F"/>
    <w:rsid w:val="009E0034"/>
    <w:rsid w:val="009F7716"/>
    <w:rsid w:val="00A1051E"/>
    <w:rsid w:val="00A3570F"/>
    <w:rsid w:val="00A41372"/>
    <w:rsid w:val="00A5237C"/>
    <w:rsid w:val="00A57BDB"/>
    <w:rsid w:val="00A620C7"/>
    <w:rsid w:val="00A84410"/>
    <w:rsid w:val="00A91E16"/>
    <w:rsid w:val="00AE64CE"/>
    <w:rsid w:val="00AE7356"/>
    <w:rsid w:val="00AF13C1"/>
    <w:rsid w:val="00AF443E"/>
    <w:rsid w:val="00AF52A9"/>
    <w:rsid w:val="00B12F85"/>
    <w:rsid w:val="00B37385"/>
    <w:rsid w:val="00B37C93"/>
    <w:rsid w:val="00B47DF5"/>
    <w:rsid w:val="00B66CB8"/>
    <w:rsid w:val="00BB0752"/>
    <w:rsid w:val="00BC4137"/>
    <w:rsid w:val="00BF1E40"/>
    <w:rsid w:val="00BF237E"/>
    <w:rsid w:val="00C21ED3"/>
    <w:rsid w:val="00C41375"/>
    <w:rsid w:val="00C71B36"/>
    <w:rsid w:val="00C95B3A"/>
    <w:rsid w:val="00CA512D"/>
    <w:rsid w:val="00CC3BB0"/>
    <w:rsid w:val="00CD71AC"/>
    <w:rsid w:val="00CE4314"/>
    <w:rsid w:val="00D03E7B"/>
    <w:rsid w:val="00D238C8"/>
    <w:rsid w:val="00D35499"/>
    <w:rsid w:val="00D35C87"/>
    <w:rsid w:val="00D52122"/>
    <w:rsid w:val="00D6185F"/>
    <w:rsid w:val="00DB0700"/>
    <w:rsid w:val="00DB3EB4"/>
    <w:rsid w:val="00DD0C56"/>
    <w:rsid w:val="00DF7F22"/>
    <w:rsid w:val="00E02048"/>
    <w:rsid w:val="00E114ED"/>
    <w:rsid w:val="00E270BF"/>
    <w:rsid w:val="00E3714E"/>
    <w:rsid w:val="00E513A7"/>
    <w:rsid w:val="00E73386"/>
    <w:rsid w:val="00E9423D"/>
    <w:rsid w:val="00E9785F"/>
    <w:rsid w:val="00EB0104"/>
    <w:rsid w:val="00EC4251"/>
    <w:rsid w:val="00EC637B"/>
    <w:rsid w:val="00EC63D1"/>
    <w:rsid w:val="00EE017D"/>
    <w:rsid w:val="00EF2A11"/>
    <w:rsid w:val="00EF4505"/>
    <w:rsid w:val="00F061C5"/>
    <w:rsid w:val="00F107B3"/>
    <w:rsid w:val="00F11324"/>
    <w:rsid w:val="00F318D7"/>
    <w:rsid w:val="00F67778"/>
    <w:rsid w:val="00F73074"/>
    <w:rsid w:val="00FD3024"/>
    <w:rsid w:val="00FF658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B3CB"/>
  <w15:docId w15:val="{A1A153CB-406E-4A89-9F0A-4F5E10D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6CF6"/>
    <w:rPr>
      <w:szCs w:val="24"/>
    </w:rPr>
  </w:style>
  <w:style w:type="character" w:styleId="Strong">
    <w:name w:val="Strong"/>
    <w:basedOn w:val="DefaultParagraphFont"/>
    <w:uiPriority w:val="22"/>
    <w:qFormat/>
    <w:rsid w:val="00226CF6"/>
    <w:rPr>
      <w:b/>
      <w:bCs/>
    </w:rPr>
  </w:style>
  <w:style w:type="paragraph" w:customStyle="1" w:styleId="Para2">
    <w:name w:val="Para2"/>
    <w:basedOn w:val="Normal"/>
    <w:qFormat/>
    <w:rsid w:val="001708A1"/>
    <w:pPr>
      <w:spacing w:before="240" w:line="240" w:lineRule="auto"/>
      <w:ind w:firstLine="360"/>
    </w:pPr>
    <w:rPr>
      <w:rFonts w:ascii="Times New Roman" w:hAnsi="Times New Roman" w:cs="Times New Roman"/>
      <w:sz w:val="24"/>
      <w:szCs w:val="28"/>
      <w:lang w:val="en-CA" w:eastAsia="en-CA" w:bidi="en-CA"/>
    </w:rPr>
  </w:style>
  <w:style w:type="paragraph" w:styleId="ListParagraph">
    <w:name w:val="List Paragraph"/>
    <w:basedOn w:val="Normal"/>
    <w:uiPriority w:val="34"/>
    <w:qFormat/>
    <w:rsid w:val="00884037"/>
    <w:pPr>
      <w:spacing w:after="0" w:line="240" w:lineRule="auto"/>
      <w:ind w:left="720"/>
    </w:pPr>
    <w:rPr>
      <w:rFonts w:ascii="Calibri" w:hAnsi="Calibri" w:cs="Calibr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7E"/>
    <w:rPr>
      <w:rFonts w:ascii="Segoe UI" w:hAnsi="Segoe UI" w:cs="Segoe UI"/>
      <w:sz w:val="18"/>
      <w:szCs w:val="18"/>
      <w:lang w:val="en-US"/>
    </w:rPr>
  </w:style>
  <w:style w:type="character" w:customStyle="1" w:styleId="fuzzy">
    <w:name w:val="fuzzy"/>
    <w:basedOn w:val="DefaultParagraphFont"/>
    <w:rsid w:val="006A18DB"/>
  </w:style>
  <w:style w:type="character" w:customStyle="1" w:styleId="term1">
    <w:name w:val="term1"/>
    <w:basedOn w:val="DefaultParagraphFont"/>
    <w:rsid w:val="00E73386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E3332A1EF6C4A81CC649AD025BDF9" ma:contentTypeVersion="5" ma:contentTypeDescription="Create a new document." ma:contentTypeScope="" ma:versionID="36b0cfa9ae6511c4838208c03b3673db">
  <xsd:schema xmlns:xsd="http://www.w3.org/2001/XMLSchema" xmlns:xs="http://www.w3.org/2001/XMLSchema" xmlns:p="http://schemas.microsoft.com/office/2006/metadata/properties" xmlns:ns2="1a518bee-6065-449e-9798-af5b1469c654" xmlns:ns3="85e6b9f1-03f9-4a9b-b66b-396d4101c826" targetNamespace="http://schemas.microsoft.com/office/2006/metadata/properties" ma:root="true" ma:fieldsID="54479ea2f86c553f2f5daf627143b135" ns2:_="" ns3:_="">
    <xsd:import namespace="1a518bee-6065-449e-9798-af5b1469c654"/>
    <xsd:import namespace="85e6b9f1-03f9-4a9b-b66b-396d4101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UniqueRecordID" minOccurs="0"/>
                <xsd:element ref="ns3:Final_x0020_Version_x0020_Approved_x0020_by_x0020_DPC" minOccurs="0"/>
                <xsd:element ref="ns3:Issu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8bee-6065-449e-9798-af5b1469c6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b9f1-03f9-4a9b-b66b-396d4101c826" elementFormDefault="qualified">
    <xsd:import namespace="http://schemas.microsoft.com/office/2006/documentManagement/types"/>
    <xsd:import namespace="http://schemas.microsoft.com/office/infopath/2007/PartnerControls"/>
    <xsd:element name="PublicationUniqueRecordID" ma:index="11" nillable="true" ma:displayName="PublicationUniqueRecordID" ma:description="Publication UniqueRecordID is Generated By the Iris Application to identify the Document." ma:indexed="true" ma:internalName="PublicationUniqueRecordID">
      <xsd:simpleType>
        <xsd:restriction base="dms:Text">
          <xsd:maxLength value="50"/>
        </xsd:restriction>
      </xsd:simpleType>
    </xsd:element>
    <xsd:element name="Final_x0020_Version_x0020_Approved_x0020_by_x0020_DPC" ma:index="12" nillable="true" ma:displayName="Final Version Approved by DPC" ma:default="0" ma:internalName="Final_x0020_Version_x0020_Approved_x0020_by_x0020_DPC">
      <xsd:simpleType>
        <xsd:restriction base="dms:Boolean"/>
      </xsd:simpleType>
    </xsd:element>
    <xsd:element name="Issue_x0020_Number" ma:index="13" nillable="true" ma:displayName="Issue Number" ma:decimals="0" ma:internalName="Issue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UniqueRecordID xmlns="85e6b9f1-03f9-4a9b-b66b-396d4101c826">3260bdb2-1677-46d5-9245-4c6b201eb350</PublicationUniqueRecordID>
    <Final_x0020_Version_x0020_Approved_x0020_by_x0020_DPC xmlns="85e6b9f1-03f9-4a9b-b66b-396d4101c826">false</Final_x0020_Version_x0020_Approved_x0020_by_x0020_DPC>
    <Issue_x0020_Number xmlns="85e6b9f1-03f9-4a9b-b66b-396d4101c826" xsi:nil="true"/>
    <_dlc_DocId xmlns="1a518bee-6065-449e-9798-af5b1469c654">YYWFM6NNFZQJ-479-33336</_dlc_DocId>
    <_dlc_DocIdUrl xmlns="1a518bee-6065-449e-9798-af5b1469c654">
      <Url>http://sendoc02/iris/_layouts/15/DocIdRedir.aspx?ID=YYWFM6NNFZQJ-479-33336</Url>
      <Description>YYWFM6NNFZQJ-479-33336</Description>
    </_dlc_DocIdUrl>
  </documentManagement>
</p:properties>
</file>

<file path=customXml/itemProps1.xml><?xml version="1.0" encoding="utf-8"?>
<ds:datastoreItem xmlns:ds="http://schemas.openxmlformats.org/officeDocument/2006/customXml" ds:itemID="{DE34B442-4BFA-4708-BF4D-587A79E80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97580-08F8-4EB5-9276-100338248003}"/>
</file>

<file path=customXml/itemProps3.xml><?xml version="1.0" encoding="utf-8"?>
<ds:datastoreItem xmlns:ds="http://schemas.openxmlformats.org/officeDocument/2006/customXml" ds:itemID="{8A415942-2356-43FB-8D6A-A3D510058310}"/>
</file>

<file path=customXml/itemProps4.xml><?xml version="1.0" encoding="utf-8"?>
<ds:datastoreItem xmlns:ds="http://schemas.openxmlformats.org/officeDocument/2006/customXml" ds:itemID="{C7FE3A76-A126-4BEB-990F-F69C6C397109}"/>
</file>

<file path=customXml/itemProps5.xml><?xml version="1.0" encoding="utf-8"?>
<ds:datastoreItem xmlns:ds="http://schemas.openxmlformats.org/officeDocument/2006/customXml" ds:itemID="{C54B719C-4ED0-455F-AC3F-BC84182D6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archambaultnc</dc:creator>
  <cp:keywords/>
  <dc:description/>
  <cp:lastModifiedBy>Prieur Mark (PBC-CLCC NO-BN)</cp:lastModifiedBy>
  <cp:revision>2</cp:revision>
  <cp:lastPrinted>2019-04-29T15:34:00Z</cp:lastPrinted>
  <dcterms:created xsi:type="dcterms:W3CDTF">2019-05-03T15:57:00Z</dcterms:created>
  <dcterms:modified xsi:type="dcterms:W3CDTF">2019-05-03T15:57:00Z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0x0101005A1E3332A1EF6C4A81CC649AD025BDF9</vt:lpwstr>
  </property>
  <property fmtid="{D5CDD505-2E9C-101B-9397-08002B2CF9AE}" pid="3" name="_dlc_DocIdItemGuid">
    <vt:lpwstr>58f11100-590e-4d54-af1f-cbdec524ec18</vt:lpwstr>
  </property>
</Properties>
</file>