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88B8B" w14:textId="15D36513" w:rsidR="00283759" w:rsidRDefault="00122C9D" w:rsidP="003C0ACC">
      <w:pPr>
        <w:spacing w:after="960"/>
        <w:rPr>
          <w:lang w:val="fr-CA"/>
        </w:rPr>
      </w:pPr>
      <w:r w:rsidRPr="008A3351">
        <w:rPr>
          <w:noProof/>
          <w:color w:val="212121"/>
          <w:sz w:val="22"/>
          <w:lang w:val="fr-CA"/>
        </w:rPr>
        <w:drawing>
          <wp:inline distT="0" distB="0" distL="0" distR="0" wp14:anchorId="69D94624" wp14:editId="388BA1F4">
            <wp:extent cx="938478" cy="938478"/>
            <wp:effectExtent l="0" t="0" r="1905" b="1905"/>
            <wp:docPr id="8" name="Picture 8" descr="Logo du Sénat du Ca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Logo du Sénat du Canada"/>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38478" cy="938478"/>
                    </a:xfrm>
                    <a:prstGeom prst="rect">
                      <a:avLst/>
                    </a:prstGeom>
                    <a:noFill/>
                    <a:ln>
                      <a:noFill/>
                    </a:ln>
                  </pic:spPr>
                </pic:pic>
              </a:graphicData>
            </a:graphic>
          </wp:inline>
        </w:drawing>
      </w:r>
    </w:p>
    <w:p w14:paraId="5E4CE6F3" w14:textId="77777777" w:rsidR="00B979EF" w:rsidRDefault="00B979EF" w:rsidP="00B979EF">
      <w:pPr>
        <w:jc w:val="center"/>
      </w:pPr>
      <w:r>
        <w:rPr>
          <w:noProof/>
        </w:rPr>
        <mc:AlternateContent>
          <mc:Choice Requires="wps">
            <w:drawing>
              <wp:inline distT="0" distB="0" distL="0" distR="0" wp14:anchorId="54B0F1F2" wp14:editId="233EB698">
                <wp:extent cx="5943600" cy="0"/>
                <wp:effectExtent l="0" t="38100" r="25400" b="38100"/>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w="76200">
                          <a:solidFill>
                            <a:srgbClr val="74ADAD"/>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6F1E44A7" id="Straight Connector 3" o:spid="_x0000_s1026" alt="&quot;&quot;" style="visibility:visible;mso-wrap-style:square;mso-left-percent:-10001;mso-top-percent:-10001;mso-position-horizontal:absolute;mso-position-horizontal-relative:char;mso-position-vertical:absolute;mso-position-vertical-relative:line;mso-left-percent:-10001;mso-top-percent:-10001"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" strokecolor="#74adad" strokeweight="6pt">
                <v:stroke joinstyle="miter"/>
                <o:lock v:ext="edit" shapetype="f"/>
                <w10:anchorlock/>
              </v:line>
            </w:pict>
          </mc:Fallback>
        </mc:AlternateContent>
      </w:r>
    </w:p>
    <w:p w14:paraId="57A79E67" w14:textId="77777777" w:rsidR="00B979EF" w:rsidRPr="00CB7F47" w:rsidRDefault="00B979EF" w:rsidP="00B979EF">
      <w:pPr>
        <w:pStyle w:val="Title"/>
        <w:spacing w:before="720" w:after="1200"/>
        <w:rPr>
          <w:lang w:val="fr-CA"/>
        </w:rPr>
      </w:pPr>
      <w:r w:rsidRPr="00CB7F47">
        <w:rPr>
          <w:lang w:val="fr-CA"/>
        </w:rPr>
        <w:t>Rapport d’étape :</w:t>
      </w:r>
      <w:r w:rsidRPr="00CB7F47">
        <w:rPr>
          <w:lang w:val="fr-CA"/>
        </w:rPr>
        <w:br/>
        <w:t>Plan d’accessibilité 2023-2025</w:t>
      </w:r>
    </w:p>
    <w:p w14:paraId="36E45312" w14:textId="77777777" w:rsidR="00B979EF" w:rsidRPr="00CB7F47" w:rsidRDefault="00B979EF" w:rsidP="00B979EF">
      <w:pPr>
        <w:spacing w:after="960"/>
        <w:rPr>
          <w:rFonts w:cstheme="minorHAnsi"/>
        </w:rPr>
      </w:pPr>
      <w:r w:rsidRPr="00CB7F47">
        <w:rPr>
          <w:noProof/>
        </w:rPr>
        <mc:AlternateContent>
          <mc:Choice Requires="wps">
            <w:drawing>
              <wp:inline distT="0" distB="0" distL="0" distR="0" wp14:anchorId="37EFAB5A" wp14:editId="008D7623">
                <wp:extent cx="3164205" cy="0"/>
                <wp:effectExtent l="0" t="0" r="0" b="0"/>
                <wp:docPr id="563328086" name="Straight Connector 56332808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164205" cy="0"/>
                        </a:xfrm>
                        <a:prstGeom prst="line">
                          <a:avLst/>
                        </a:prstGeom>
                        <a:ln w="19050">
                          <a:solidFill>
                            <a:srgbClr val="74ADAD"/>
                          </a:solidFill>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line w14:anchorId="509CB017" id="Straight Connector 563328086" o:spid="_x0000_s1026" alt="&quot;&quot;" style="visibility:visible;mso-wrap-style:square;mso-left-percent:-10001;mso-top-percent:-10001;mso-position-horizontal:absolute;mso-position-horizontal-relative:char;mso-position-vertical:absolute;mso-position-vertical-relative:line;mso-left-percent:-10001;mso-top-percent:-10001" from="0,0" to="249.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" strokecolor="#74adad" strokeweight="1.5pt">
                <v:stroke joinstyle="miter"/>
                <o:lock v:ext="edit" shapetype="f"/>
                <w10:anchorlock/>
              </v:line>
            </w:pict>
          </mc:Fallback>
        </mc:AlternateContent>
      </w:r>
    </w:p>
    <w:p w14:paraId="0DA106ED" w14:textId="77777777" w:rsidR="00B979EF" w:rsidRPr="008A3351" w:rsidRDefault="00B979EF" w:rsidP="00B979EF">
      <w:pPr>
        <w:jc w:val="right"/>
        <w:rPr>
          <w:lang w:val="fr-CA"/>
        </w:rPr>
        <w:sectPr w:rsidR="00B979EF" w:rsidRPr="008A3351" w:rsidSect="00D92F7A">
          <w:pgSz w:w="12240" w:h="15840" w:code="1"/>
          <w:pgMar w:top="1440" w:right="1440" w:bottom="1440" w:left="1440" w:header="720" w:footer="720" w:gutter="0"/>
          <w:cols w:space="720"/>
          <w:docGrid w:linePitch="360"/>
        </w:sectPr>
      </w:pPr>
      <w:r w:rsidRPr="00CB7F47">
        <w:rPr>
          <w:lang w:val="fr-CA"/>
        </w:rPr>
        <w:t>20 décembre 2023</w:t>
      </w:r>
      <w:r w:rsidRPr="00CB7F47">
        <w:rPr>
          <w:lang w:val="fr-CA"/>
        </w:rPr>
        <w:br/>
        <w:t>Sénat du Canada</w:t>
      </w:r>
    </w:p>
    <w:sdt>
      <w:sdtPr>
        <w:rPr>
          <w:rFonts w:ascii="Arial Nova Light" w:eastAsiaTheme="minorHAnsi" w:hAnsi="Arial Nova Light" w:cstheme="minorBidi"/>
          <w:b/>
          <w:i/>
          <w:iCs/>
          <w:noProof/>
          <w:color w:val="auto"/>
          <w:sz w:val="24"/>
          <w:szCs w:val="24"/>
          <w:lang w:val="fr-CA"/>
        </w:rPr>
        <w:id w:val="-804468932"/>
        <w:docPartObj>
          <w:docPartGallery w:val="Table of Contents"/>
          <w:docPartUnique/>
        </w:docPartObj>
      </w:sdtPr>
      <w:sdtEndPr>
        <w:rPr>
          <w:rFonts w:asciiTheme="minorHAnsi" w:hAnsiTheme="minorHAnsi"/>
          <w:i w:val="0"/>
          <w:color w:val="6A0C22"/>
        </w:rPr>
      </w:sdtEndPr>
      <w:sdtContent>
        <w:p w14:paraId="67C168EC" w14:textId="0B737972" w:rsidR="00624B8F" w:rsidRPr="008A3351" w:rsidRDefault="00624B8F" w:rsidP="00A74F12">
          <w:pPr>
            <w:pStyle w:val="TOCHeading"/>
            <w:spacing w:before="120"/>
            <w:rPr>
              <w:lang w:val="fr-CA"/>
            </w:rPr>
          </w:pPr>
          <w:r w:rsidRPr="008A3351">
            <w:rPr>
              <w:lang w:val="fr-CA"/>
            </w:rPr>
            <w:t>Table des matières</w:t>
          </w:r>
        </w:p>
        <w:p w14:paraId="64155007" w14:textId="55E80043" w:rsidR="00AA2A8F" w:rsidRPr="009C1A93" w:rsidRDefault="00624B8F" w:rsidP="008C7863">
          <w:pPr>
            <w:pStyle w:val="TOC1"/>
          </w:pPr>
          <w:r w:rsidRPr="008A3351">
            <w:fldChar w:fldCharType="begin"/>
          </w:r>
          <w:r w:rsidRPr="008A3351">
            <w:instrText xml:space="preserve"> TOC \o "1-3" \h \z \u </w:instrText>
          </w:r>
          <w:r w:rsidRPr="008A3351">
            <w:fldChar w:fldCharType="separate"/>
          </w:r>
          <w:hyperlink w:anchor="_Toc151466297" w:history="1">
            <w:r w:rsidR="00AA2A8F" w:rsidRPr="009C1A93">
              <w:rPr>
                <w:rStyle w:val="Hyperlink"/>
                <w:u w:val="none"/>
              </w:rPr>
              <w:t>1</w:t>
            </w:r>
            <w:r w:rsidR="00AA2A8F" w:rsidRPr="009C1A93">
              <w:tab/>
            </w:r>
            <w:r w:rsidR="00AA2A8F" w:rsidRPr="009C1A93">
              <w:rPr>
                <w:rStyle w:val="Hyperlink"/>
                <w:u w:val="none"/>
              </w:rPr>
              <w:t>Généralités</w:t>
            </w:r>
            <w:r w:rsidR="00AA2A8F" w:rsidRPr="009C1A93">
              <w:rPr>
                <w:webHidden/>
              </w:rPr>
              <w:tab/>
            </w:r>
            <w:r w:rsidR="00AA2A8F" w:rsidRPr="009C1A93">
              <w:rPr>
                <w:webHidden/>
              </w:rPr>
              <w:fldChar w:fldCharType="begin"/>
            </w:r>
            <w:r w:rsidR="00AA2A8F" w:rsidRPr="009C1A93">
              <w:rPr>
                <w:webHidden/>
              </w:rPr>
              <w:instrText xml:space="preserve"> PAGEREF _Toc151466297 \h </w:instrText>
            </w:r>
            <w:r w:rsidR="00AA2A8F" w:rsidRPr="009C1A93">
              <w:rPr>
                <w:webHidden/>
              </w:rPr>
            </w:r>
            <w:r w:rsidR="00AA2A8F" w:rsidRPr="009C1A93">
              <w:rPr>
                <w:webHidden/>
              </w:rPr>
              <w:fldChar w:fldCharType="separate"/>
            </w:r>
            <w:r w:rsidR="00AA2A8F" w:rsidRPr="009C1A93">
              <w:rPr>
                <w:webHidden/>
              </w:rPr>
              <w:t>4</w:t>
            </w:r>
            <w:r w:rsidR="00AA2A8F" w:rsidRPr="009C1A93">
              <w:rPr>
                <w:webHidden/>
              </w:rPr>
              <w:fldChar w:fldCharType="end"/>
            </w:r>
          </w:hyperlink>
        </w:p>
        <w:p w14:paraId="20AC097E" w14:textId="07B0152A" w:rsidR="00AA2A8F" w:rsidRPr="008A3351" w:rsidRDefault="00FD6BB8" w:rsidP="008C7863">
          <w:pPr>
            <w:pStyle w:val="TOC2"/>
            <w:rPr>
              <w:rFonts w:eastAsiaTheme="minorEastAsia"/>
              <w:sz w:val="22"/>
              <w:szCs w:val="22"/>
              <w:lang w:eastAsia="en-CA"/>
            </w:rPr>
          </w:pPr>
          <w:hyperlink w:anchor="_Toc151466298" w:history="1">
            <w:r w:rsidR="00AA2A8F" w:rsidRPr="008A3351">
              <w:rPr>
                <w:rStyle w:val="Hyperlink"/>
              </w:rPr>
              <w:t>1.1</w:t>
            </w:r>
            <w:r w:rsidR="00AA2A8F" w:rsidRPr="008A3351">
              <w:rPr>
                <w:rFonts w:eastAsiaTheme="minorEastAsia"/>
                <w:sz w:val="22"/>
                <w:szCs w:val="22"/>
                <w:lang w:eastAsia="en-CA"/>
              </w:rPr>
              <w:tab/>
            </w:r>
            <w:r w:rsidR="00AA2A8F" w:rsidRPr="008A3351">
              <w:rPr>
                <w:rStyle w:val="Hyperlink"/>
              </w:rPr>
              <w:t>Déclaration d’engagement</w:t>
            </w:r>
            <w:r w:rsidR="00AA2A8F" w:rsidRPr="008A3351">
              <w:rPr>
                <w:webHidden/>
              </w:rPr>
              <w:tab/>
            </w:r>
            <w:r w:rsidR="00AA2A8F" w:rsidRPr="008A3351">
              <w:rPr>
                <w:webHidden/>
              </w:rPr>
              <w:fldChar w:fldCharType="begin"/>
            </w:r>
            <w:r w:rsidR="00AA2A8F" w:rsidRPr="008A3351">
              <w:rPr>
                <w:webHidden/>
              </w:rPr>
              <w:instrText xml:space="preserve"> PAGEREF _Toc151466298 \h </w:instrText>
            </w:r>
            <w:r w:rsidR="00AA2A8F" w:rsidRPr="008A3351">
              <w:rPr>
                <w:webHidden/>
              </w:rPr>
            </w:r>
            <w:r w:rsidR="00AA2A8F" w:rsidRPr="008A3351">
              <w:rPr>
                <w:webHidden/>
              </w:rPr>
              <w:fldChar w:fldCharType="separate"/>
            </w:r>
            <w:r w:rsidR="00AA2A8F" w:rsidRPr="008A3351">
              <w:rPr>
                <w:webHidden/>
              </w:rPr>
              <w:t>4</w:t>
            </w:r>
            <w:r w:rsidR="00AA2A8F" w:rsidRPr="008A3351">
              <w:rPr>
                <w:webHidden/>
              </w:rPr>
              <w:fldChar w:fldCharType="end"/>
            </w:r>
          </w:hyperlink>
        </w:p>
        <w:p w14:paraId="02F4DE4D" w14:textId="1AF25048" w:rsidR="00AA2A8F" w:rsidRPr="008A3351" w:rsidRDefault="00FD6BB8" w:rsidP="008C7863">
          <w:pPr>
            <w:pStyle w:val="TOC1"/>
            <w:rPr>
              <w:rFonts w:eastAsiaTheme="minorEastAsia"/>
              <w:sz w:val="22"/>
              <w:szCs w:val="22"/>
              <w:lang w:eastAsia="en-CA"/>
            </w:rPr>
          </w:pPr>
          <w:hyperlink w:anchor="_Toc151466299" w:history="1">
            <w:r w:rsidR="00AA2A8F" w:rsidRPr="008A3351">
              <w:rPr>
                <w:rStyle w:val="Hyperlink"/>
              </w:rPr>
              <w:t>1.2</w:t>
            </w:r>
            <w:r w:rsidR="00AA2A8F" w:rsidRPr="008A3351">
              <w:rPr>
                <w:rFonts w:eastAsiaTheme="minorEastAsia"/>
                <w:sz w:val="22"/>
                <w:szCs w:val="22"/>
                <w:lang w:eastAsia="en-CA"/>
              </w:rPr>
              <w:tab/>
            </w:r>
            <w:r w:rsidR="00AA2A8F" w:rsidRPr="008A3351">
              <w:rPr>
                <w:rStyle w:val="Hyperlink"/>
              </w:rPr>
              <w:t>Coordonnées et processus de rétroaction</w:t>
            </w:r>
            <w:r w:rsidR="00AA2A8F" w:rsidRPr="008A3351">
              <w:rPr>
                <w:webHidden/>
              </w:rPr>
              <w:tab/>
            </w:r>
            <w:r w:rsidR="00AA2A8F" w:rsidRPr="008A3351">
              <w:rPr>
                <w:webHidden/>
              </w:rPr>
              <w:fldChar w:fldCharType="begin"/>
            </w:r>
            <w:r w:rsidR="00AA2A8F" w:rsidRPr="008A3351">
              <w:rPr>
                <w:webHidden/>
              </w:rPr>
              <w:instrText xml:space="preserve"> PAGEREF _Toc151466299 \h </w:instrText>
            </w:r>
            <w:r w:rsidR="00AA2A8F" w:rsidRPr="008A3351">
              <w:rPr>
                <w:webHidden/>
              </w:rPr>
            </w:r>
            <w:r w:rsidR="00AA2A8F" w:rsidRPr="008A3351">
              <w:rPr>
                <w:webHidden/>
              </w:rPr>
              <w:fldChar w:fldCharType="separate"/>
            </w:r>
            <w:r w:rsidR="00AA2A8F" w:rsidRPr="008A3351">
              <w:rPr>
                <w:webHidden/>
              </w:rPr>
              <w:t>4</w:t>
            </w:r>
            <w:r w:rsidR="00AA2A8F" w:rsidRPr="008A3351">
              <w:rPr>
                <w:webHidden/>
              </w:rPr>
              <w:fldChar w:fldCharType="end"/>
            </w:r>
          </w:hyperlink>
        </w:p>
        <w:p w14:paraId="0700D3F1" w14:textId="1772C606" w:rsidR="00AA2A8F" w:rsidRPr="008A3351" w:rsidRDefault="00FD6BB8" w:rsidP="008C7863">
          <w:pPr>
            <w:pStyle w:val="TOC2"/>
            <w:rPr>
              <w:rFonts w:eastAsiaTheme="minorEastAsia"/>
              <w:sz w:val="22"/>
              <w:szCs w:val="22"/>
              <w:lang w:eastAsia="en-CA"/>
            </w:rPr>
          </w:pPr>
          <w:hyperlink w:anchor="_Toc151466300" w:history="1">
            <w:r w:rsidR="00AA2A8F" w:rsidRPr="008A3351">
              <w:rPr>
                <w:rStyle w:val="Hyperlink"/>
              </w:rPr>
              <w:t>1.3</w:t>
            </w:r>
            <w:r w:rsidR="00AA2A8F" w:rsidRPr="008A3351">
              <w:rPr>
                <w:rFonts w:eastAsiaTheme="minorEastAsia"/>
                <w:sz w:val="22"/>
                <w:szCs w:val="22"/>
                <w:lang w:eastAsia="en-CA"/>
              </w:rPr>
              <w:tab/>
            </w:r>
            <w:r w:rsidR="00AA2A8F" w:rsidRPr="008A3351">
              <w:rPr>
                <w:rStyle w:val="Hyperlink"/>
              </w:rPr>
              <w:t>Termes et définitions</w:t>
            </w:r>
            <w:r w:rsidR="00AA2A8F" w:rsidRPr="008A3351">
              <w:rPr>
                <w:webHidden/>
              </w:rPr>
              <w:tab/>
            </w:r>
            <w:r w:rsidR="00AA2A8F" w:rsidRPr="008A3351">
              <w:rPr>
                <w:webHidden/>
              </w:rPr>
              <w:fldChar w:fldCharType="begin"/>
            </w:r>
            <w:r w:rsidR="00AA2A8F" w:rsidRPr="008A3351">
              <w:rPr>
                <w:webHidden/>
              </w:rPr>
              <w:instrText xml:space="preserve"> PAGEREF _Toc151466300 \h </w:instrText>
            </w:r>
            <w:r w:rsidR="00AA2A8F" w:rsidRPr="008A3351">
              <w:rPr>
                <w:webHidden/>
              </w:rPr>
            </w:r>
            <w:r w:rsidR="00AA2A8F" w:rsidRPr="008A3351">
              <w:rPr>
                <w:webHidden/>
              </w:rPr>
              <w:fldChar w:fldCharType="separate"/>
            </w:r>
            <w:r w:rsidR="00AA2A8F" w:rsidRPr="008A3351">
              <w:rPr>
                <w:webHidden/>
              </w:rPr>
              <w:t>5</w:t>
            </w:r>
            <w:r w:rsidR="00AA2A8F" w:rsidRPr="008A3351">
              <w:rPr>
                <w:webHidden/>
              </w:rPr>
              <w:fldChar w:fldCharType="end"/>
            </w:r>
          </w:hyperlink>
        </w:p>
        <w:p w14:paraId="45CF7F39" w14:textId="4FB7B96F" w:rsidR="00AA2A8F" w:rsidRPr="008A3351" w:rsidRDefault="00FD6BB8" w:rsidP="008C7863">
          <w:pPr>
            <w:pStyle w:val="TOC2"/>
            <w:rPr>
              <w:rFonts w:eastAsiaTheme="minorEastAsia"/>
              <w:sz w:val="22"/>
              <w:szCs w:val="22"/>
              <w:lang w:eastAsia="en-CA"/>
            </w:rPr>
          </w:pPr>
          <w:hyperlink w:anchor="_Toc151466301" w:history="1">
            <w:r w:rsidR="00AA2A8F" w:rsidRPr="008A3351">
              <w:rPr>
                <w:rStyle w:val="Hyperlink"/>
              </w:rPr>
              <w:t>1.4</w:t>
            </w:r>
            <w:r w:rsidR="00AA2A8F" w:rsidRPr="008A3351">
              <w:rPr>
                <w:rFonts w:eastAsiaTheme="minorEastAsia"/>
                <w:sz w:val="22"/>
                <w:szCs w:val="22"/>
                <w:lang w:eastAsia="en-CA"/>
              </w:rPr>
              <w:tab/>
            </w:r>
            <w:r w:rsidR="00AA2A8F" w:rsidRPr="008A3351">
              <w:rPr>
                <w:rStyle w:val="Hyperlink"/>
              </w:rPr>
              <w:t>Sommaire</w:t>
            </w:r>
            <w:r w:rsidR="00AA2A8F" w:rsidRPr="008A3351">
              <w:rPr>
                <w:webHidden/>
              </w:rPr>
              <w:tab/>
            </w:r>
            <w:r w:rsidR="00AA2A8F" w:rsidRPr="008A3351">
              <w:rPr>
                <w:webHidden/>
              </w:rPr>
              <w:fldChar w:fldCharType="begin"/>
            </w:r>
            <w:r w:rsidR="00AA2A8F" w:rsidRPr="008A3351">
              <w:rPr>
                <w:webHidden/>
              </w:rPr>
              <w:instrText xml:space="preserve"> PAGEREF _Toc151466301 \h </w:instrText>
            </w:r>
            <w:r w:rsidR="00AA2A8F" w:rsidRPr="008A3351">
              <w:rPr>
                <w:webHidden/>
              </w:rPr>
            </w:r>
            <w:r w:rsidR="00AA2A8F" w:rsidRPr="008A3351">
              <w:rPr>
                <w:webHidden/>
              </w:rPr>
              <w:fldChar w:fldCharType="separate"/>
            </w:r>
            <w:r w:rsidR="00AA2A8F" w:rsidRPr="008A3351">
              <w:rPr>
                <w:webHidden/>
              </w:rPr>
              <w:t>7</w:t>
            </w:r>
            <w:r w:rsidR="00AA2A8F" w:rsidRPr="008A3351">
              <w:rPr>
                <w:webHidden/>
              </w:rPr>
              <w:fldChar w:fldCharType="end"/>
            </w:r>
          </w:hyperlink>
        </w:p>
        <w:p w14:paraId="445080CB" w14:textId="42765C03" w:rsidR="00AA2A8F" w:rsidRPr="008A3351" w:rsidRDefault="00FD6BB8" w:rsidP="008C7863">
          <w:pPr>
            <w:pStyle w:val="TOC1"/>
            <w:rPr>
              <w:rFonts w:eastAsiaTheme="minorEastAsia"/>
              <w:i/>
              <w:color w:val="auto"/>
              <w:sz w:val="22"/>
              <w:szCs w:val="22"/>
              <w:lang w:eastAsia="en-CA"/>
            </w:rPr>
          </w:pPr>
          <w:hyperlink w:anchor="_Toc151466302" w:history="1">
            <w:r w:rsidR="00AA2A8F" w:rsidRPr="008A3351">
              <w:rPr>
                <w:rStyle w:val="Hyperlink"/>
              </w:rPr>
              <w:t>2</w:t>
            </w:r>
            <w:r w:rsidR="00AA2A8F" w:rsidRPr="008A3351">
              <w:rPr>
                <w:rFonts w:eastAsiaTheme="minorEastAsia"/>
                <w:i/>
                <w:color w:val="auto"/>
                <w:sz w:val="22"/>
                <w:szCs w:val="22"/>
                <w:lang w:eastAsia="en-CA"/>
              </w:rPr>
              <w:tab/>
            </w:r>
            <w:r w:rsidR="00AA2A8F" w:rsidRPr="008A3351">
              <w:rPr>
                <w:rStyle w:val="Hyperlink"/>
              </w:rPr>
              <w:t xml:space="preserve">Domaines décrits à l’article 5 de la </w:t>
            </w:r>
            <w:r w:rsidR="00AA2A8F" w:rsidRPr="008A3351">
              <w:rPr>
                <w:rStyle w:val="Hyperlink"/>
                <w:i/>
              </w:rPr>
              <w:t>Loi canadienne sur l’accessibilité</w:t>
            </w:r>
            <w:r w:rsidR="00AA2A8F" w:rsidRPr="008A3351">
              <w:rPr>
                <w:webHidden/>
              </w:rPr>
              <w:tab/>
            </w:r>
            <w:r w:rsidR="00AA2A8F" w:rsidRPr="008A3351">
              <w:rPr>
                <w:webHidden/>
              </w:rPr>
              <w:fldChar w:fldCharType="begin"/>
            </w:r>
            <w:r w:rsidR="00AA2A8F" w:rsidRPr="008A3351">
              <w:rPr>
                <w:webHidden/>
              </w:rPr>
              <w:instrText xml:space="preserve"> PAGEREF _Toc151466302 \h </w:instrText>
            </w:r>
            <w:r w:rsidR="00AA2A8F" w:rsidRPr="008A3351">
              <w:rPr>
                <w:webHidden/>
              </w:rPr>
            </w:r>
            <w:r w:rsidR="00AA2A8F" w:rsidRPr="008A3351">
              <w:rPr>
                <w:webHidden/>
              </w:rPr>
              <w:fldChar w:fldCharType="separate"/>
            </w:r>
            <w:r w:rsidR="00AA2A8F" w:rsidRPr="008A3351">
              <w:rPr>
                <w:webHidden/>
              </w:rPr>
              <w:t>8</w:t>
            </w:r>
            <w:r w:rsidR="00AA2A8F" w:rsidRPr="008A3351">
              <w:rPr>
                <w:webHidden/>
              </w:rPr>
              <w:fldChar w:fldCharType="end"/>
            </w:r>
          </w:hyperlink>
        </w:p>
        <w:p w14:paraId="5F69C728" w14:textId="6728107A" w:rsidR="00AA2A8F" w:rsidRPr="008A3351" w:rsidRDefault="00FD6BB8" w:rsidP="008C7863">
          <w:pPr>
            <w:pStyle w:val="TOC2"/>
            <w:rPr>
              <w:rFonts w:eastAsiaTheme="minorEastAsia"/>
              <w:sz w:val="22"/>
              <w:szCs w:val="22"/>
              <w:lang w:eastAsia="en-CA"/>
            </w:rPr>
          </w:pPr>
          <w:hyperlink w:anchor="_Toc151466303" w:history="1">
            <w:r w:rsidR="00AA2A8F" w:rsidRPr="008A3351">
              <w:rPr>
                <w:rStyle w:val="Hyperlink"/>
              </w:rPr>
              <w:t>2.1</w:t>
            </w:r>
            <w:r w:rsidR="00AA2A8F" w:rsidRPr="008A3351">
              <w:rPr>
                <w:rFonts w:eastAsiaTheme="minorEastAsia"/>
                <w:sz w:val="22"/>
                <w:szCs w:val="22"/>
                <w:lang w:eastAsia="en-CA"/>
              </w:rPr>
              <w:tab/>
            </w:r>
            <w:r w:rsidR="00AA2A8F" w:rsidRPr="008A3351">
              <w:rPr>
                <w:rStyle w:val="Hyperlink"/>
              </w:rPr>
              <w:t>Environnement bâti</w:t>
            </w:r>
            <w:r w:rsidR="00AA2A8F" w:rsidRPr="008A3351">
              <w:rPr>
                <w:webHidden/>
              </w:rPr>
              <w:tab/>
            </w:r>
            <w:r w:rsidR="00AA2A8F" w:rsidRPr="008A3351">
              <w:rPr>
                <w:webHidden/>
              </w:rPr>
              <w:fldChar w:fldCharType="begin"/>
            </w:r>
            <w:r w:rsidR="00AA2A8F" w:rsidRPr="008A3351">
              <w:rPr>
                <w:webHidden/>
              </w:rPr>
              <w:instrText xml:space="preserve"> PAGEREF _Toc151466303 \h </w:instrText>
            </w:r>
            <w:r w:rsidR="00AA2A8F" w:rsidRPr="008A3351">
              <w:rPr>
                <w:webHidden/>
              </w:rPr>
            </w:r>
            <w:r w:rsidR="00AA2A8F" w:rsidRPr="008A3351">
              <w:rPr>
                <w:webHidden/>
              </w:rPr>
              <w:fldChar w:fldCharType="separate"/>
            </w:r>
            <w:r w:rsidR="00AA2A8F" w:rsidRPr="008A3351">
              <w:rPr>
                <w:webHidden/>
              </w:rPr>
              <w:t>8</w:t>
            </w:r>
            <w:r w:rsidR="00AA2A8F" w:rsidRPr="008A3351">
              <w:rPr>
                <w:webHidden/>
              </w:rPr>
              <w:fldChar w:fldCharType="end"/>
            </w:r>
          </w:hyperlink>
        </w:p>
        <w:p w14:paraId="780A3A72" w14:textId="7A62DCB3" w:rsidR="00AA2A8F" w:rsidRPr="008A3351" w:rsidRDefault="00FD6BB8" w:rsidP="003F306C">
          <w:pPr>
            <w:pStyle w:val="TOC3"/>
            <w:rPr>
              <w:rFonts w:eastAsiaTheme="minorEastAsia"/>
              <w:sz w:val="22"/>
              <w:szCs w:val="22"/>
              <w:lang w:eastAsia="en-CA"/>
            </w:rPr>
          </w:pPr>
          <w:hyperlink w:anchor="_Toc151466304" w:history="1">
            <w:r w:rsidR="00AA2A8F" w:rsidRPr="008A3351">
              <w:rPr>
                <w:rStyle w:val="Hyperlink"/>
              </w:rPr>
              <w:t>Aperçu</w:t>
            </w:r>
            <w:r w:rsidR="00AA2A8F" w:rsidRPr="008A3351">
              <w:rPr>
                <w:webHidden/>
              </w:rPr>
              <w:tab/>
            </w:r>
            <w:r w:rsidR="00AA2A8F" w:rsidRPr="008A3351">
              <w:rPr>
                <w:webHidden/>
              </w:rPr>
              <w:fldChar w:fldCharType="begin"/>
            </w:r>
            <w:r w:rsidR="00AA2A8F" w:rsidRPr="008A3351">
              <w:rPr>
                <w:webHidden/>
              </w:rPr>
              <w:instrText xml:space="preserve"> PAGEREF _Toc151466304 \h </w:instrText>
            </w:r>
            <w:r w:rsidR="00AA2A8F" w:rsidRPr="008A3351">
              <w:rPr>
                <w:webHidden/>
              </w:rPr>
            </w:r>
            <w:r w:rsidR="00AA2A8F" w:rsidRPr="008A3351">
              <w:rPr>
                <w:webHidden/>
              </w:rPr>
              <w:fldChar w:fldCharType="separate"/>
            </w:r>
            <w:r w:rsidR="00AA2A8F" w:rsidRPr="008A3351">
              <w:rPr>
                <w:webHidden/>
              </w:rPr>
              <w:t>8</w:t>
            </w:r>
            <w:r w:rsidR="00AA2A8F" w:rsidRPr="008A3351">
              <w:rPr>
                <w:webHidden/>
              </w:rPr>
              <w:fldChar w:fldCharType="end"/>
            </w:r>
          </w:hyperlink>
        </w:p>
        <w:p w14:paraId="3B711D5A" w14:textId="36DA5748" w:rsidR="00AA2A8F" w:rsidRPr="008A3351" w:rsidRDefault="00FD6BB8" w:rsidP="003F306C">
          <w:pPr>
            <w:pStyle w:val="TOC3"/>
            <w:rPr>
              <w:rFonts w:eastAsiaTheme="minorEastAsia"/>
              <w:sz w:val="22"/>
              <w:szCs w:val="22"/>
              <w:lang w:eastAsia="en-CA"/>
            </w:rPr>
          </w:pPr>
          <w:hyperlink w:anchor="_Toc151466305" w:history="1">
            <w:r w:rsidR="00AA2A8F" w:rsidRPr="008A3351">
              <w:rPr>
                <w:rStyle w:val="Hyperlink"/>
              </w:rPr>
              <w:t>Objectifs en matière d’accessibilité atteints ou en cours</w:t>
            </w:r>
            <w:r w:rsidR="00AA2A8F" w:rsidRPr="008A3351">
              <w:rPr>
                <w:webHidden/>
              </w:rPr>
              <w:tab/>
            </w:r>
            <w:r w:rsidR="00AA2A8F" w:rsidRPr="008A3351">
              <w:rPr>
                <w:webHidden/>
              </w:rPr>
              <w:fldChar w:fldCharType="begin"/>
            </w:r>
            <w:r w:rsidR="00AA2A8F" w:rsidRPr="008A3351">
              <w:rPr>
                <w:webHidden/>
              </w:rPr>
              <w:instrText xml:space="preserve"> PAGEREF _Toc151466305 \h </w:instrText>
            </w:r>
            <w:r w:rsidR="00AA2A8F" w:rsidRPr="008A3351">
              <w:rPr>
                <w:webHidden/>
              </w:rPr>
            </w:r>
            <w:r w:rsidR="00AA2A8F" w:rsidRPr="008A3351">
              <w:rPr>
                <w:webHidden/>
              </w:rPr>
              <w:fldChar w:fldCharType="separate"/>
            </w:r>
            <w:r w:rsidR="00AA2A8F" w:rsidRPr="008A3351">
              <w:rPr>
                <w:webHidden/>
              </w:rPr>
              <w:t>8</w:t>
            </w:r>
            <w:r w:rsidR="00AA2A8F" w:rsidRPr="008A3351">
              <w:rPr>
                <w:webHidden/>
              </w:rPr>
              <w:fldChar w:fldCharType="end"/>
            </w:r>
          </w:hyperlink>
        </w:p>
        <w:p w14:paraId="7D7FDBEF" w14:textId="3365CF6E" w:rsidR="00AA2A8F" w:rsidRPr="008A3351" w:rsidRDefault="00FD6BB8" w:rsidP="008C7863">
          <w:pPr>
            <w:pStyle w:val="TOC2"/>
            <w:rPr>
              <w:rFonts w:eastAsiaTheme="minorEastAsia"/>
              <w:sz w:val="22"/>
              <w:szCs w:val="22"/>
              <w:lang w:eastAsia="en-CA"/>
            </w:rPr>
          </w:pPr>
          <w:hyperlink w:anchor="_Toc151466306" w:history="1">
            <w:r w:rsidR="00AA2A8F" w:rsidRPr="008A3351">
              <w:rPr>
                <w:rStyle w:val="Hyperlink"/>
              </w:rPr>
              <w:t>2.2</w:t>
            </w:r>
            <w:r w:rsidR="00AA2A8F" w:rsidRPr="008A3351">
              <w:rPr>
                <w:rFonts w:eastAsiaTheme="minorEastAsia"/>
                <w:sz w:val="22"/>
                <w:szCs w:val="22"/>
                <w:lang w:eastAsia="en-CA"/>
              </w:rPr>
              <w:tab/>
            </w:r>
            <w:r w:rsidR="00AA2A8F" w:rsidRPr="008A3351">
              <w:rPr>
                <w:rStyle w:val="Hyperlink"/>
              </w:rPr>
              <w:t>Emploi</w:t>
            </w:r>
            <w:r w:rsidR="00AA2A8F" w:rsidRPr="008A3351">
              <w:rPr>
                <w:webHidden/>
              </w:rPr>
              <w:tab/>
            </w:r>
            <w:r w:rsidR="00AA2A8F" w:rsidRPr="008A3351">
              <w:rPr>
                <w:webHidden/>
              </w:rPr>
              <w:fldChar w:fldCharType="begin"/>
            </w:r>
            <w:r w:rsidR="00AA2A8F" w:rsidRPr="008A3351">
              <w:rPr>
                <w:webHidden/>
              </w:rPr>
              <w:instrText xml:space="preserve"> PAGEREF _Toc151466306 \h </w:instrText>
            </w:r>
            <w:r w:rsidR="00AA2A8F" w:rsidRPr="008A3351">
              <w:rPr>
                <w:webHidden/>
              </w:rPr>
            </w:r>
            <w:r w:rsidR="00AA2A8F" w:rsidRPr="008A3351">
              <w:rPr>
                <w:webHidden/>
              </w:rPr>
              <w:fldChar w:fldCharType="separate"/>
            </w:r>
            <w:r w:rsidR="00AA2A8F" w:rsidRPr="008A3351">
              <w:rPr>
                <w:webHidden/>
              </w:rPr>
              <w:t>12</w:t>
            </w:r>
            <w:r w:rsidR="00AA2A8F" w:rsidRPr="008A3351">
              <w:rPr>
                <w:webHidden/>
              </w:rPr>
              <w:fldChar w:fldCharType="end"/>
            </w:r>
          </w:hyperlink>
        </w:p>
        <w:p w14:paraId="2D2562A7" w14:textId="7946A87D" w:rsidR="00AA2A8F" w:rsidRPr="008A3351" w:rsidRDefault="00FD6BB8" w:rsidP="003F306C">
          <w:pPr>
            <w:pStyle w:val="TOC3"/>
            <w:rPr>
              <w:rFonts w:eastAsiaTheme="minorEastAsia"/>
              <w:sz w:val="22"/>
              <w:szCs w:val="22"/>
              <w:lang w:eastAsia="en-CA"/>
            </w:rPr>
          </w:pPr>
          <w:hyperlink w:anchor="_Toc151466307" w:history="1">
            <w:r w:rsidR="00AA2A8F" w:rsidRPr="008A3351">
              <w:rPr>
                <w:rStyle w:val="Hyperlink"/>
              </w:rPr>
              <w:t>Aperçu</w:t>
            </w:r>
            <w:r w:rsidR="00AA2A8F" w:rsidRPr="008A3351">
              <w:rPr>
                <w:webHidden/>
              </w:rPr>
              <w:tab/>
            </w:r>
            <w:r w:rsidR="00AA2A8F" w:rsidRPr="008A3351">
              <w:rPr>
                <w:webHidden/>
              </w:rPr>
              <w:fldChar w:fldCharType="begin"/>
            </w:r>
            <w:r w:rsidR="00AA2A8F" w:rsidRPr="008A3351">
              <w:rPr>
                <w:webHidden/>
              </w:rPr>
              <w:instrText xml:space="preserve"> PAGEREF _Toc151466307 \h </w:instrText>
            </w:r>
            <w:r w:rsidR="00AA2A8F" w:rsidRPr="008A3351">
              <w:rPr>
                <w:webHidden/>
              </w:rPr>
            </w:r>
            <w:r w:rsidR="00AA2A8F" w:rsidRPr="008A3351">
              <w:rPr>
                <w:webHidden/>
              </w:rPr>
              <w:fldChar w:fldCharType="separate"/>
            </w:r>
            <w:r w:rsidR="00AA2A8F" w:rsidRPr="008A3351">
              <w:rPr>
                <w:webHidden/>
              </w:rPr>
              <w:t>12</w:t>
            </w:r>
            <w:r w:rsidR="00AA2A8F" w:rsidRPr="008A3351">
              <w:rPr>
                <w:webHidden/>
              </w:rPr>
              <w:fldChar w:fldCharType="end"/>
            </w:r>
          </w:hyperlink>
        </w:p>
        <w:p w14:paraId="0E4659D7" w14:textId="1BF0E755" w:rsidR="00AA2A8F" w:rsidRPr="008A3351" w:rsidRDefault="00FD6BB8" w:rsidP="003F306C">
          <w:pPr>
            <w:pStyle w:val="TOC3"/>
            <w:rPr>
              <w:rFonts w:eastAsiaTheme="minorEastAsia"/>
              <w:sz w:val="22"/>
              <w:szCs w:val="22"/>
              <w:lang w:eastAsia="en-CA"/>
            </w:rPr>
          </w:pPr>
          <w:hyperlink w:anchor="_Toc151466308" w:history="1">
            <w:r w:rsidR="00AA2A8F" w:rsidRPr="008A3351">
              <w:rPr>
                <w:rStyle w:val="Hyperlink"/>
              </w:rPr>
              <w:t>Objectifs en matière d’accessibilité atteints ou en cours</w:t>
            </w:r>
            <w:r w:rsidR="00AA2A8F" w:rsidRPr="008A3351">
              <w:rPr>
                <w:webHidden/>
              </w:rPr>
              <w:tab/>
            </w:r>
            <w:r w:rsidR="00AA2A8F" w:rsidRPr="008A3351">
              <w:rPr>
                <w:webHidden/>
              </w:rPr>
              <w:fldChar w:fldCharType="begin"/>
            </w:r>
            <w:r w:rsidR="00AA2A8F" w:rsidRPr="008A3351">
              <w:rPr>
                <w:webHidden/>
              </w:rPr>
              <w:instrText xml:space="preserve"> PAGEREF _Toc151466308 \h </w:instrText>
            </w:r>
            <w:r w:rsidR="00AA2A8F" w:rsidRPr="008A3351">
              <w:rPr>
                <w:webHidden/>
              </w:rPr>
            </w:r>
            <w:r w:rsidR="00AA2A8F" w:rsidRPr="008A3351">
              <w:rPr>
                <w:webHidden/>
              </w:rPr>
              <w:fldChar w:fldCharType="separate"/>
            </w:r>
            <w:r w:rsidR="00AA2A8F" w:rsidRPr="008A3351">
              <w:rPr>
                <w:webHidden/>
              </w:rPr>
              <w:t>12</w:t>
            </w:r>
            <w:r w:rsidR="00AA2A8F" w:rsidRPr="008A3351">
              <w:rPr>
                <w:webHidden/>
              </w:rPr>
              <w:fldChar w:fldCharType="end"/>
            </w:r>
          </w:hyperlink>
        </w:p>
        <w:p w14:paraId="3BF15749" w14:textId="069781DF" w:rsidR="00AA2A8F" w:rsidRPr="008A3351" w:rsidRDefault="00FD6BB8" w:rsidP="008C7863">
          <w:pPr>
            <w:pStyle w:val="TOC2"/>
            <w:rPr>
              <w:rFonts w:eastAsiaTheme="minorEastAsia"/>
              <w:sz w:val="22"/>
              <w:szCs w:val="22"/>
              <w:lang w:eastAsia="en-CA"/>
            </w:rPr>
          </w:pPr>
          <w:hyperlink w:anchor="_Toc151466309" w:history="1">
            <w:r w:rsidR="00AA2A8F" w:rsidRPr="008A3351">
              <w:rPr>
                <w:rStyle w:val="Hyperlink"/>
              </w:rPr>
              <w:t>2.3</w:t>
            </w:r>
            <w:r w:rsidR="00AA2A8F" w:rsidRPr="008A3351">
              <w:rPr>
                <w:rFonts w:eastAsiaTheme="minorEastAsia"/>
                <w:sz w:val="22"/>
                <w:szCs w:val="22"/>
                <w:lang w:eastAsia="en-CA"/>
              </w:rPr>
              <w:tab/>
            </w:r>
            <w:r w:rsidR="00AA2A8F" w:rsidRPr="008A3351">
              <w:rPr>
                <w:rStyle w:val="Hyperlink"/>
              </w:rPr>
              <w:t>Technologies de l’information et des communications (TIC)</w:t>
            </w:r>
            <w:r w:rsidR="00AA2A8F" w:rsidRPr="008A3351">
              <w:rPr>
                <w:webHidden/>
              </w:rPr>
              <w:tab/>
            </w:r>
            <w:r w:rsidR="00AA2A8F" w:rsidRPr="008A3351">
              <w:rPr>
                <w:webHidden/>
              </w:rPr>
              <w:fldChar w:fldCharType="begin"/>
            </w:r>
            <w:r w:rsidR="00AA2A8F" w:rsidRPr="008A3351">
              <w:rPr>
                <w:webHidden/>
              </w:rPr>
              <w:instrText xml:space="preserve"> PAGEREF _Toc151466309 \h </w:instrText>
            </w:r>
            <w:r w:rsidR="00AA2A8F" w:rsidRPr="008A3351">
              <w:rPr>
                <w:webHidden/>
              </w:rPr>
            </w:r>
            <w:r w:rsidR="00AA2A8F" w:rsidRPr="008A3351">
              <w:rPr>
                <w:webHidden/>
              </w:rPr>
              <w:fldChar w:fldCharType="separate"/>
            </w:r>
            <w:r w:rsidR="00AA2A8F" w:rsidRPr="008A3351">
              <w:rPr>
                <w:webHidden/>
              </w:rPr>
              <w:t>12</w:t>
            </w:r>
            <w:r w:rsidR="00AA2A8F" w:rsidRPr="008A3351">
              <w:rPr>
                <w:webHidden/>
              </w:rPr>
              <w:fldChar w:fldCharType="end"/>
            </w:r>
          </w:hyperlink>
        </w:p>
        <w:p w14:paraId="34AE5E9E" w14:textId="38490FB6" w:rsidR="00AA2A8F" w:rsidRPr="008A3351" w:rsidRDefault="00FD6BB8" w:rsidP="003F306C">
          <w:pPr>
            <w:pStyle w:val="TOC3"/>
            <w:rPr>
              <w:rFonts w:eastAsiaTheme="minorEastAsia"/>
              <w:sz w:val="22"/>
              <w:szCs w:val="22"/>
              <w:lang w:eastAsia="en-CA"/>
            </w:rPr>
          </w:pPr>
          <w:hyperlink w:anchor="_Toc151466310" w:history="1">
            <w:r w:rsidR="00AA2A8F" w:rsidRPr="003439A3">
              <w:rPr>
                <w:rStyle w:val="Hyperlink"/>
                <w:color w:val="auto"/>
                <w:u w:val="none"/>
              </w:rPr>
              <w:t>Aperçu</w:t>
            </w:r>
            <w:r w:rsidR="00AA2A8F" w:rsidRPr="008A3351">
              <w:rPr>
                <w:webHidden/>
              </w:rPr>
              <w:tab/>
            </w:r>
            <w:r w:rsidR="00AA2A8F" w:rsidRPr="008A3351">
              <w:rPr>
                <w:webHidden/>
              </w:rPr>
              <w:fldChar w:fldCharType="begin"/>
            </w:r>
            <w:r w:rsidR="00AA2A8F" w:rsidRPr="008A3351">
              <w:rPr>
                <w:webHidden/>
              </w:rPr>
              <w:instrText xml:space="preserve"> PAGEREF _Toc151466310 \h </w:instrText>
            </w:r>
            <w:r w:rsidR="00AA2A8F" w:rsidRPr="008A3351">
              <w:rPr>
                <w:webHidden/>
              </w:rPr>
            </w:r>
            <w:r w:rsidR="00AA2A8F" w:rsidRPr="008A3351">
              <w:rPr>
                <w:webHidden/>
              </w:rPr>
              <w:fldChar w:fldCharType="separate"/>
            </w:r>
            <w:r w:rsidR="00AA2A8F" w:rsidRPr="008A3351">
              <w:rPr>
                <w:webHidden/>
              </w:rPr>
              <w:t>12</w:t>
            </w:r>
            <w:r w:rsidR="00AA2A8F" w:rsidRPr="008A3351">
              <w:rPr>
                <w:webHidden/>
              </w:rPr>
              <w:fldChar w:fldCharType="end"/>
            </w:r>
          </w:hyperlink>
        </w:p>
        <w:p w14:paraId="207097BC" w14:textId="18D3720F" w:rsidR="00AA2A8F" w:rsidRPr="008A3351" w:rsidRDefault="00FD6BB8" w:rsidP="003F306C">
          <w:pPr>
            <w:pStyle w:val="TOC3"/>
            <w:rPr>
              <w:rFonts w:eastAsiaTheme="minorEastAsia"/>
              <w:sz w:val="22"/>
              <w:szCs w:val="22"/>
              <w:lang w:eastAsia="en-CA"/>
            </w:rPr>
          </w:pPr>
          <w:hyperlink w:anchor="_Toc151466311" w:history="1">
            <w:r w:rsidR="00AA2A8F" w:rsidRPr="008A3351">
              <w:rPr>
                <w:rStyle w:val="Hyperlink"/>
              </w:rPr>
              <w:t>Objectifs en matière d’accessibilité atteints ou en cours</w:t>
            </w:r>
            <w:r w:rsidR="00AA2A8F" w:rsidRPr="008A3351">
              <w:rPr>
                <w:webHidden/>
              </w:rPr>
              <w:tab/>
            </w:r>
            <w:r w:rsidR="00AA2A8F" w:rsidRPr="008A3351">
              <w:rPr>
                <w:webHidden/>
              </w:rPr>
              <w:fldChar w:fldCharType="begin"/>
            </w:r>
            <w:r w:rsidR="00AA2A8F" w:rsidRPr="008A3351">
              <w:rPr>
                <w:webHidden/>
              </w:rPr>
              <w:instrText xml:space="preserve"> PAGEREF _Toc151466311 \h </w:instrText>
            </w:r>
            <w:r w:rsidR="00AA2A8F" w:rsidRPr="008A3351">
              <w:rPr>
                <w:webHidden/>
              </w:rPr>
            </w:r>
            <w:r w:rsidR="00AA2A8F" w:rsidRPr="008A3351">
              <w:rPr>
                <w:webHidden/>
              </w:rPr>
              <w:fldChar w:fldCharType="separate"/>
            </w:r>
            <w:r w:rsidR="00AA2A8F" w:rsidRPr="008A3351">
              <w:rPr>
                <w:webHidden/>
              </w:rPr>
              <w:t>13</w:t>
            </w:r>
            <w:r w:rsidR="00AA2A8F" w:rsidRPr="008A3351">
              <w:rPr>
                <w:webHidden/>
              </w:rPr>
              <w:fldChar w:fldCharType="end"/>
            </w:r>
          </w:hyperlink>
        </w:p>
        <w:p w14:paraId="1A79D3F3" w14:textId="4093E00D" w:rsidR="00AA2A8F" w:rsidRPr="008A3351" w:rsidRDefault="00FD6BB8" w:rsidP="008C7863">
          <w:pPr>
            <w:pStyle w:val="TOC2"/>
            <w:rPr>
              <w:rFonts w:eastAsiaTheme="minorEastAsia"/>
              <w:sz w:val="22"/>
              <w:szCs w:val="22"/>
              <w:lang w:eastAsia="en-CA"/>
            </w:rPr>
          </w:pPr>
          <w:hyperlink w:anchor="_Toc151466312" w:history="1">
            <w:r w:rsidR="00AA2A8F" w:rsidRPr="008A3351">
              <w:rPr>
                <w:rStyle w:val="Hyperlink"/>
              </w:rPr>
              <w:t>2.4</w:t>
            </w:r>
            <w:r w:rsidR="00AA2A8F" w:rsidRPr="008A3351">
              <w:rPr>
                <w:rFonts w:eastAsiaTheme="minorEastAsia"/>
                <w:sz w:val="22"/>
                <w:szCs w:val="22"/>
                <w:lang w:eastAsia="en-CA"/>
              </w:rPr>
              <w:tab/>
            </w:r>
            <w:r w:rsidR="00AA2A8F" w:rsidRPr="008A3351">
              <w:rPr>
                <w:rStyle w:val="Hyperlink"/>
              </w:rPr>
              <w:t>Communications autres que TIC</w:t>
            </w:r>
            <w:r w:rsidR="00AA2A8F" w:rsidRPr="008A3351">
              <w:rPr>
                <w:webHidden/>
              </w:rPr>
              <w:tab/>
            </w:r>
            <w:r w:rsidR="00AA2A8F" w:rsidRPr="008A3351">
              <w:rPr>
                <w:webHidden/>
              </w:rPr>
              <w:fldChar w:fldCharType="begin"/>
            </w:r>
            <w:r w:rsidR="00AA2A8F" w:rsidRPr="008A3351">
              <w:rPr>
                <w:webHidden/>
              </w:rPr>
              <w:instrText xml:space="preserve"> PAGEREF _Toc151466312 \h </w:instrText>
            </w:r>
            <w:r w:rsidR="00AA2A8F" w:rsidRPr="008A3351">
              <w:rPr>
                <w:webHidden/>
              </w:rPr>
            </w:r>
            <w:r w:rsidR="00AA2A8F" w:rsidRPr="008A3351">
              <w:rPr>
                <w:webHidden/>
              </w:rPr>
              <w:fldChar w:fldCharType="separate"/>
            </w:r>
            <w:r w:rsidR="00AA2A8F" w:rsidRPr="008A3351">
              <w:rPr>
                <w:webHidden/>
              </w:rPr>
              <w:t>13</w:t>
            </w:r>
            <w:r w:rsidR="00AA2A8F" w:rsidRPr="008A3351">
              <w:rPr>
                <w:webHidden/>
              </w:rPr>
              <w:fldChar w:fldCharType="end"/>
            </w:r>
          </w:hyperlink>
        </w:p>
        <w:p w14:paraId="4EC4E426" w14:textId="72D6ADC5" w:rsidR="00AA2A8F" w:rsidRPr="008A3351" w:rsidRDefault="00FD6BB8" w:rsidP="008C7863">
          <w:pPr>
            <w:pStyle w:val="TOC2"/>
            <w:rPr>
              <w:rFonts w:eastAsiaTheme="minorEastAsia"/>
              <w:sz w:val="22"/>
              <w:szCs w:val="22"/>
              <w:lang w:eastAsia="en-CA"/>
            </w:rPr>
          </w:pPr>
          <w:hyperlink w:anchor="_Toc151466313" w:history="1">
            <w:r w:rsidR="00AA2A8F" w:rsidRPr="008A3351">
              <w:rPr>
                <w:rStyle w:val="Hyperlink"/>
              </w:rPr>
              <w:t>Aperçu</w:t>
            </w:r>
            <w:r w:rsidR="00AA2A8F" w:rsidRPr="008A3351">
              <w:rPr>
                <w:webHidden/>
              </w:rPr>
              <w:tab/>
            </w:r>
            <w:r w:rsidR="00AA2A8F" w:rsidRPr="008A3351">
              <w:rPr>
                <w:webHidden/>
              </w:rPr>
              <w:fldChar w:fldCharType="begin"/>
            </w:r>
            <w:r w:rsidR="00AA2A8F" w:rsidRPr="008A3351">
              <w:rPr>
                <w:webHidden/>
              </w:rPr>
              <w:instrText xml:space="preserve"> PAGEREF _Toc151466313 \h </w:instrText>
            </w:r>
            <w:r w:rsidR="00AA2A8F" w:rsidRPr="008A3351">
              <w:rPr>
                <w:webHidden/>
              </w:rPr>
            </w:r>
            <w:r w:rsidR="00AA2A8F" w:rsidRPr="008A3351">
              <w:rPr>
                <w:webHidden/>
              </w:rPr>
              <w:fldChar w:fldCharType="separate"/>
            </w:r>
            <w:r w:rsidR="00AA2A8F" w:rsidRPr="008A3351">
              <w:rPr>
                <w:webHidden/>
              </w:rPr>
              <w:t>13</w:t>
            </w:r>
            <w:r w:rsidR="00AA2A8F" w:rsidRPr="008A3351">
              <w:rPr>
                <w:webHidden/>
              </w:rPr>
              <w:fldChar w:fldCharType="end"/>
            </w:r>
          </w:hyperlink>
        </w:p>
        <w:p w14:paraId="72715B98" w14:textId="0F8ABC75" w:rsidR="00AA2A8F" w:rsidRPr="008A3351" w:rsidRDefault="00FD6BB8" w:rsidP="003F306C">
          <w:pPr>
            <w:pStyle w:val="TOC3"/>
            <w:rPr>
              <w:rFonts w:eastAsiaTheme="minorEastAsia"/>
              <w:sz w:val="22"/>
              <w:szCs w:val="22"/>
              <w:lang w:eastAsia="en-CA"/>
            </w:rPr>
          </w:pPr>
          <w:hyperlink w:anchor="_Toc151466314" w:history="1">
            <w:r w:rsidR="00AA2A8F" w:rsidRPr="008A3351">
              <w:rPr>
                <w:rStyle w:val="Hyperlink"/>
              </w:rPr>
              <w:t>Objectifs en matière d’accessibilité atteints ou en cours</w:t>
            </w:r>
            <w:r w:rsidR="00AA2A8F" w:rsidRPr="008A3351">
              <w:rPr>
                <w:webHidden/>
              </w:rPr>
              <w:tab/>
            </w:r>
            <w:r w:rsidR="00AA2A8F" w:rsidRPr="008A3351">
              <w:rPr>
                <w:webHidden/>
              </w:rPr>
              <w:fldChar w:fldCharType="begin"/>
            </w:r>
            <w:r w:rsidR="00AA2A8F" w:rsidRPr="008A3351">
              <w:rPr>
                <w:webHidden/>
              </w:rPr>
              <w:instrText xml:space="preserve"> PAGEREF _Toc151466314 \h </w:instrText>
            </w:r>
            <w:r w:rsidR="00AA2A8F" w:rsidRPr="008A3351">
              <w:rPr>
                <w:webHidden/>
              </w:rPr>
            </w:r>
            <w:r w:rsidR="00AA2A8F" w:rsidRPr="008A3351">
              <w:rPr>
                <w:webHidden/>
              </w:rPr>
              <w:fldChar w:fldCharType="separate"/>
            </w:r>
            <w:r w:rsidR="00AA2A8F" w:rsidRPr="008A3351">
              <w:rPr>
                <w:webHidden/>
              </w:rPr>
              <w:t>14</w:t>
            </w:r>
            <w:r w:rsidR="00AA2A8F" w:rsidRPr="008A3351">
              <w:rPr>
                <w:webHidden/>
              </w:rPr>
              <w:fldChar w:fldCharType="end"/>
            </w:r>
          </w:hyperlink>
        </w:p>
        <w:p w14:paraId="01D3D59A" w14:textId="43CFC218" w:rsidR="00AA2A8F" w:rsidRPr="008A3351" w:rsidRDefault="00FD6BB8" w:rsidP="008C7863">
          <w:pPr>
            <w:pStyle w:val="TOC2"/>
            <w:rPr>
              <w:rFonts w:eastAsiaTheme="minorEastAsia"/>
              <w:sz w:val="22"/>
              <w:szCs w:val="22"/>
              <w:lang w:eastAsia="en-CA"/>
            </w:rPr>
          </w:pPr>
          <w:hyperlink w:anchor="_Toc151466315" w:history="1">
            <w:r w:rsidR="00AA2A8F" w:rsidRPr="008A3351">
              <w:rPr>
                <w:rStyle w:val="Hyperlink"/>
              </w:rPr>
              <w:t>2.5</w:t>
            </w:r>
            <w:r w:rsidR="00AA2A8F" w:rsidRPr="008A3351">
              <w:rPr>
                <w:rFonts w:eastAsiaTheme="minorEastAsia"/>
                <w:sz w:val="22"/>
                <w:szCs w:val="22"/>
                <w:lang w:eastAsia="en-CA"/>
              </w:rPr>
              <w:tab/>
            </w:r>
            <w:r w:rsidR="00AA2A8F" w:rsidRPr="008A3351">
              <w:rPr>
                <w:rStyle w:val="Hyperlink"/>
              </w:rPr>
              <w:t>Acquisition de biens, de services et d’installations</w:t>
            </w:r>
            <w:r w:rsidR="00AA2A8F" w:rsidRPr="008A3351">
              <w:rPr>
                <w:webHidden/>
              </w:rPr>
              <w:tab/>
            </w:r>
            <w:r w:rsidR="00AA2A8F" w:rsidRPr="008A3351">
              <w:rPr>
                <w:webHidden/>
              </w:rPr>
              <w:fldChar w:fldCharType="begin"/>
            </w:r>
            <w:r w:rsidR="00AA2A8F" w:rsidRPr="008A3351">
              <w:rPr>
                <w:webHidden/>
              </w:rPr>
              <w:instrText xml:space="preserve"> PAGEREF _Toc151466315 \h </w:instrText>
            </w:r>
            <w:r w:rsidR="00AA2A8F" w:rsidRPr="008A3351">
              <w:rPr>
                <w:webHidden/>
              </w:rPr>
            </w:r>
            <w:r w:rsidR="00AA2A8F" w:rsidRPr="008A3351">
              <w:rPr>
                <w:webHidden/>
              </w:rPr>
              <w:fldChar w:fldCharType="separate"/>
            </w:r>
            <w:r w:rsidR="00AA2A8F" w:rsidRPr="008A3351">
              <w:rPr>
                <w:webHidden/>
              </w:rPr>
              <w:t>15</w:t>
            </w:r>
            <w:r w:rsidR="00AA2A8F" w:rsidRPr="008A3351">
              <w:rPr>
                <w:webHidden/>
              </w:rPr>
              <w:fldChar w:fldCharType="end"/>
            </w:r>
          </w:hyperlink>
        </w:p>
        <w:p w14:paraId="36B62054" w14:textId="7A7DD520" w:rsidR="00AA2A8F" w:rsidRPr="008A3351" w:rsidRDefault="00FD6BB8" w:rsidP="003F306C">
          <w:pPr>
            <w:pStyle w:val="TOC3"/>
            <w:rPr>
              <w:rFonts w:eastAsiaTheme="minorEastAsia"/>
              <w:sz w:val="22"/>
              <w:szCs w:val="22"/>
              <w:lang w:eastAsia="en-CA"/>
            </w:rPr>
          </w:pPr>
          <w:hyperlink w:anchor="_Toc151466316" w:history="1">
            <w:r w:rsidR="00AA2A8F" w:rsidRPr="008A3351">
              <w:rPr>
                <w:rStyle w:val="Hyperlink"/>
              </w:rPr>
              <w:t>Aperçu</w:t>
            </w:r>
            <w:r w:rsidR="00AA2A8F" w:rsidRPr="008A3351">
              <w:rPr>
                <w:webHidden/>
              </w:rPr>
              <w:tab/>
            </w:r>
            <w:r w:rsidR="00AA2A8F" w:rsidRPr="008A3351">
              <w:rPr>
                <w:webHidden/>
              </w:rPr>
              <w:fldChar w:fldCharType="begin"/>
            </w:r>
            <w:r w:rsidR="00AA2A8F" w:rsidRPr="008A3351">
              <w:rPr>
                <w:webHidden/>
              </w:rPr>
              <w:instrText xml:space="preserve"> PAGEREF _Toc151466316 \h </w:instrText>
            </w:r>
            <w:r w:rsidR="00AA2A8F" w:rsidRPr="008A3351">
              <w:rPr>
                <w:webHidden/>
              </w:rPr>
            </w:r>
            <w:r w:rsidR="00AA2A8F" w:rsidRPr="008A3351">
              <w:rPr>
                <w:webHidden/>
              </w:rPr>
              <w:fldChar w:fldCharType="separate"/>
            </w:r>
            <w:r w:rsidR="00AA2A8F" w:rsidRPr="008A3351">
              <w:rPr>
                <w:webHidden/>
              </w:rPr>
              <w:t>15</w:t>
            </w:r>
            <w:r w:rsidR="00AA2A8F" w:rsidRPr="008A3351">
              <w:rPr>
                <w:webHidden/>
              </w:rPr>
              <w:fldChar w:fldCharType="end"/>
            </w:r>
          </w:hyperlink>
        </w:p>
        <w:p w14:paraId="040316E1" w14:textId="185A32DB" w:rsidR="00AA2A8F" w:rsidRPr="008A3351" w:rsidRDefault="00FD6BB8" w:rsidP="003F306C">
          <w:pPr>
            <w:pStyle w:val="TOC3"/>
            <w:rPr>
              <w:rFonts w:eastAsiaTheme="minorEastAsia"/>
              <w:sz w:val="22"/>
              <w:szCs w:val="22"/>
              <w:lang w:eastAsia="en-CA"/>
            </w:rPr>
          </w:pPr>
          <w:hyperlink w:anchor="_Toc151466317" w:history="1">
            <w:r w:rsidR="00AA2A8F" w:rsidRPr="008A3351">
              <w:rPr>
                <w:rStyle w:val="Hyperlink"/>
              </w:rPr>
              <w:t>Objectifs en matière d’accessibilité atteints ou en cours</w:t>
            </w:r>
            <w:r w:rsidR="00AA2A8F" w:rsidRPr="008A3351">
              <w:rPr>
                <w:webHidden/>
              </w:rPr>
              <w:tab/>
            </w:r>
            <w:r w:rsidR="00AA2A8F" w:rsidRPr="008A3351">
              <w:rPr>
                <w:webHidden/>
              </w:rPr>
              <w:fldChar w:fldCharType="begin"/>
            </w:r>
            <w:r w:rsidR="00AA2A8F" w:rsidRPr="008A3351">
              <w:rPr>
                <w:webHidden/>
              </w:rPr>
              <w:instrText xml:space="preserve"> PAGEREF _Toc151466317 \h </w:instrText>
            </w:r>
            <w:r w:rsidR="00AA2A8F" w:rsidRPr="008A3351">
              <w:rPr>
                <w:webHidden/>
              </w:rPr>
            </w:r>
            <w:r w:rsidR="00AA2A8F" w:rsidRPr="008A3351">
              <w:rPr>
                <w:webHidden/>
              </w:rPr>
              <w:fldChar w:fldCharType="separate"/>
            </w:r>
            <w:r w:rsidR="00AA2A8F" w:rsidRPr="008A3351">
              <w:rPr>
                <w:webHidden/>
              </w:rPr>
              <w:t>16</w:t>
            </w:r>
            <w:r w:rsidR="00AA2A8F" w:rsidRPr="008A3351">
              <w:rPr>
                <w:webHidden/>
              </w:rPr>
              <w:fldChar w:fldCharType="end"/>
            </w:r>
          </w:hyperlink>
        </w:p>
        <w:p w14:paraId="0591707C" w14:textId="62CA11EB" w:rsidR="00AA2A8F" w:rsidRPr="008A3351" w:rsidRDefault="00FD6BB8" w:rsidP="008C7863">
          <w:pPr>
            <w:pStyle w:val="TOC2"/>
            <w:rPr>
              <w:rFonts w:eastAsiaTheme="minorEastAsia"/>
              <w:sz w:val="22"/>
              <w:szCs w:val="22"/>
              <w:lang w:eastAsia="en-CA"/>
            </w:rPr>
          </w:pPr>
          <w:hyperlink w:anchor="_Toc151466318" w:history="1">
            <w:r w:rsidR="00AA2A8F" w:rsidRPr="008A3351">
              <w:rPr>
                <w:rStyle w:val="Hyperlink"/>
              </w:rPr>
              <w:t>2.6</w:t>
            </w:r>
            <w:r w:rsidR="00AA2A8F" w:rsidRPr="008A3351">
              <w:rPr>
                <w:rFonts w:eastAsiaTheme="minorEastAsia"/>
                <w:sz w:val="22"/>
                <w:szCs w:val="22"/>
                <w:lang w:eastAsia="en-CA"/>
              </w:rPr>
              <w:tab/>
            </w:r>
            <w:r w:rsidR="00AA2A8F" w:rsidRPr="008A3351">
              <w:rPr>
                <w:rStyle w:val="Hyperlink"/>
              </w:rPr>
              <w:t>Conception et prestation de programmes et de services</w:t>
            </w:r>
            <w:r w:rsidR="00AA2A8F" w:rsidRPr="008A3351">
              <w:rPr>
                <w:webHidden/>
              </w:rPr>
              <w:tab/>
            </w:r>
            <w:r w:rsidR="00AA2A8F" w:rsidRPr="008A3351">
              <w:rPr>
                <w:webHidden/>
              </w:rPr>
              <w:fldChar w:fldCharType="begin"/>
            </w:r>
            <w:r w:rsidR="00AA2A8F" w:rsidRPr="008A3351">
              <w:rPr>
                <w:webHidden/>
              </w:rPr>
              <w:instrText xml:space="preserve"> PAGEREF _Toc151466318 \h </w:instrText>
            </w:r>
            <w:r w:rsidR="00AA2A8F" w:rsidRPr="008A3351">
              <w:rPr>
                <w:webHidden/>
              </w:rPr>
            </w:r>
            <w:r w:rsidR="00AA2A8F" w:rsidRPr="008A3351">
              <w:rPr>
                <w:webHidden/>
              </w:rPr>
              <w:fldChar w:fldCharType="separate"/>
            </w:r>
            <w:r w:rsidR="00AA2A8F" w:rsidRPr="008A3351">
              <w:rPr>
                <w:webHidden/>
              </w:rPr>
              <w:t>16</w:t>
            </w:r>
            <w:r w:rsidR="00AA2A8F" w:rsidRPr="008A3351">
              <w:rPr>
                <w:webHidden/>
              </w:rPr>
              <w:fldChar w:fldCharType="end"/>
            </w:r>
          </w:hyperlink>
        </w:p>
        <w:p w14:paraId="3795081C" w14:textId="1BD1D026" w:rsidR="00AA2A8F" w:rsidRPr="008A3351" w:rsidRDefault="00FD6BB8" w:rsidP="003F306C">
          <w:pPr>
            <w:pStyle w:val="TOC3"/>
            <w:rPr>
              <w:rFonts w:eastAsiaTheme="minorEastAsia"/>
              <w:sz w:val="22"/>
              <w:szCs w:val="22"/>
              <w:lang w:eastAsia="en-CA"/>
            </w:rPr>
          </w:pPr>
          <w:hyperlink w:anchor="_Toc151466319" w:history="1">
            <w:r w:rsidR="00AA2A8F" w:rsidRPr="008A3351">
              <w:rPr>
                <w:rStyle w:val="Hyperlink"/>
              </w:rPr>
              <w:t>Aperçu</w:t>
            </w:r>
            <w:r w:rsidR="00AA2A8F" w:rsidRPr="008A3351">
              <w:rPr>
                <w:webHidden/>
              </w:rPr>
              <w:tab/>
            </w:r>
            <w:r w:rsidR="00AA2A8F" w:rsidRPr="008A3351">
              <w:rPr>
                <w:webHidden/>
              </w:rPr>
              <w:fldChar w:fldCharType="begin"/>
            </w:r>
            <w:r w:rsidR="00AA2A8F" w:rsidRPr="008A3351">
              <w:rPr>
                <w:webHidden/>
              </w:rPr>
              <w:instrText xml:space="preserve"> PAGEREF _Toc151466319 \h </w:instrText>
            </w:r>
            <w:r w:rsidR="00AA2A8F" w:rsidRPr="008A3351">
              <w:rPr>
                <w:webHidden/>
              </w:rPr>
            </w:r>
            <w:r w:rsidR="00AA2A8F" w:rsidRPr="008A3351">
              <w:rPr>
                <w:webHidden/>
              </w:rPr>
              <w:fldChar w:fldCharType="separate"/>
            </w:r>
            <w:r w:rsidR="00AA2A8F" w:rsidRPr="008A3351">
              <w:rPr>
                <w:webHidden/>
              </w:rPr>
              <w:t>16</w:t>
            </w:r>
            <w:r w:rsidR="00AA2A8F" w:rsidRPr="008A3351">
              <w:rPr>
                <w:webHidden/>
              </w:rPr>
              <w:fldChar w:fldCharType="end"/>
            </w:r>
          </w:hyperlink>
        </w:p>
        <w:p w14:paraId="6B64E373" w14:textId="0670652D" w:rsidR="00AA2A8F" w:rsidRPr="008A3351" w:rsidRDefault="00FD6BB8" w:rsidP="003F306C">
          <w:pPr>
            <w:pStyle w:val="TOC3"/>
            <w:rPr>
              <w:rFonts w:eastAsiaTheme="minorEastAsia"/>
              <w:sz w:val="22"/>
              <w:szCs w:val="22"/>
              <w:lang w:eastAsia="en-CA"/>
            </w:rPr>
          </w:pPr>
          <w:hyperlink w:anchor="_Toc151466320" w:history="1">
            <w:r w:rsidR="00AA2A8F" w:rsidRPr="008A3351">
              <w:rPr>
                <w:rStyle w:val="Hyperlink"/>
              </w:rPr>
              <w:t>Objectifs en matière d’accessibilité atteints ou en cours</w:t>
            </w:r>
            <w:r w:rsidR="00AA2A8F" w:rsidRPr="008A3351">
              <w:rPr>
                <w:webHidden/>
              </w:rPr>
              <w:tab/>
            </w:r>
            <w:r w:rsidR="00AA2A8F" w:rsidRPr="008A3351">
              <w:rPr>
                <w:webHidden/>
              </w:rPr>
              <w:fldChar w:fldCharType="begin"/>
            </w:r>
            <w:r w:rsidR="00AA2A8F" w:rsidRPr="008A3351">
              <w:rPr>
                <w:webHidden/>
              </w:rPr>
              <w:instrText xml:space="preserve"> PAGEREF _Toc151466320 \h </w:instrText>
            </w:r>
            <w:r w:rsidR="00AA2A8F" w:rsidRPr="008A3351">
              <w:rPr>
                <w:webHidden/>
              </w:rPr>
            </w:r>
            <w:r w:rsidR="00AA2A8F" w:rsidRPr="008A3351">
              <w:rPr>
                <w:webHidden/>
              </w:rPr>
              <w:fldChar w:fldCharType="separate"/>
            </w:r>
            <w:r w:rsidR="00AA2A8F" w:rsidRPr="008A3351">
              <w:rPr>
                <w:webHidden/>
              </w:rPr>
              <w:t>17</w:t>
            </w:r>
            <w:r w:rsidR="00AA2A8F" w:rsidRPr="008A3351">
              <w:rPr>
                <w:webHidden/>
              </w:rPr>
              <w:fldChar w:fldCharType="end"/>
            </w:r>
          </w:hyperlink>
        </w:p>
        <w:p w14:paraId="1876A558" w14:textId="54661451" w:rsidR="00AA2A8F" w:rsidRPr="008A3351" w:rsidRDefault="00FD6BB8" w:rsidP="008C7863">
          <w:pPr>
            <w:pStyle w:val="TOC2"/>
            <w:rPr>
              <w:rFonts w:eastAsiaTheme="minorEastAsia"/>
              <w:sz w:val="22"/>
              <w:szCs w:val="22"/>
              <w:lang w:eastAsia="en-CA"/>
            </w:rPr>
          </w:pPr>
          <w:hyperlink w:anchor="_Toc151466321" w:history="1">
            <w:r w:rsidR="00AA2A8F" w:rsidRPr="008A3351">
              <w:rPr>
                <w:rStyle w:val="Hyperlink"/>
              </w:rPr>
              <w:t>2.7</w:t>
            </w:r>
            <w:r w:rsidR="00AA2A8F" w:rsidRPr="008A3351">
              <w:rPr>
                <w:rFonts w:eastAsiaTheme="minorEastAsia"/>
                <w:sz w:val="22"/>
                <w:szCs w:val="22"/>
                <w:lang w:eastAsia="en-CA"/>
              </w:rPr>
              <w:tab/>
            </w:r>
            <w:r w:rsidR="00AA2A8F" w:rsidRPr="008A3351">
              <w:rPr>
                <w:rStyle w:val="Hyperlink"/>
              </w:rPr>
              <w:t>Transport</w:t>
            </w:r>
            <w:r w:rsidR="00AA2A8F" w:rsidRPr="008A3351">
              <w:rPr>
                <w:webHidden/>
              </w:rPr>
              <w:tab/>
            </w:r>
            <w:r w:rsidR="00AA2A8F" w:rsidRPr="008A3351">
              <w:rPr>
                <w:webHidden/>
              </w:rPr>
              <w:fldChar w:fldCharType="begin"/>
            </w:r>
            <w:r w:rsidR="00AA2A8F" w:rsidRPr="008A3351">
              <w:rPr>
                <w:webHidden/>
              </w:rPr>
              <w:instrText xml:space="preserve"> PAGEREF _Toc151466321 \h </w:instrText>
            </w:r>
            <w:r w:rsidR="00AA2A8F" w:rsidRPr="008A3351">
              <w:rPr>
                <w:webHidden/>
              </w:rPr>
            </w:r>
            <w:r w:rsidR="00AA2A8F" w:rsidRPr="008A3351">
              <w:rPr>
                <w:webHidden/>
              </w:rPr>
              <w:fldChar w:fldCharType="separate"/>
            </w:r>
            <w:r w:rsidR="00AA2A8F" w:rsidRPr="008A3351">
              <w:rPr>
                <w:webHidden/>
              </w:rPr>
              <w:t>17</w:t>
            </w:r>
            <w:r w:rsidR="00AA2A8F" w:rsidRPr="008A3351">
              <w:rPr>
                <w:webHidden/>
              </w:rPr>
              <w:fldChar w:fldCharType="end"/>
            </w:r>
          </w:hyperlink>
        </w:p>
        <w:p w14:paraId="1AB1F078" w14:textId="56817E32" w:rsidR="00AA2A8F" w:rsidRPr="008A3351" w:rsidRDefault="00FD6BB8" w:rsidP="003F306C">
          <w:pPr>
            <w:pStyle w:val="TOC3"/>
            <w:rPr>
              <w:rFonts w:eastAsiaTheme="minorEastAsia"/>
              <w:sz w:val="22"/>
              <w:szCs w:val="22"/>
              <w:lang w:eastAsia="en-CA"/>
            </w:rPr>
          </w:pPr>
          <w:hyperlink w:anchor="_Toc151466322" w:history="1">
            <w:r w:rsidR="00AA2A8F" w:rsidRPr="008A3351">
              <w:rPr>
                <w:rStyle w:val="Hyperlink"/>
              </w:rPr>
              <w:t>Aperçu</w:t>
            </w:r>
            <w:r w:rsidR="00AA2A8F" w:rsidRPr="008A3351">
              <w:rPr>
                <w:webHidden/>
              </w:rPr>
              <w:tab/>
            </w:r>
            <w:r w:rsidR="00AA2A8F" w:rsidRPr="008A3351">
              <w:rPr>
                <w:webHidden/>
              </w:rPr>
              <w:fldChar w:fldCharType="begin"/>
            </w:r>
            <w:r w:rsidR="00AA2A8F" w:rsidRPr="008A3351">
              <w:rPr>
                <w:webHidden/>
              </w:rPr>
              <w:instrText xml:space="preserve"> PAGEREF _Toc151466322 \h </w:instrText>
            </w:r>
            <w:r w:rsidR="00AA2A8F" w:rsidRPr="008A3351">
              <w:rPr>
                <w:webHidden/>
              </w:rPr>
            </w:r>
            <w:r w:rsidR="00AA2A8F" w:rsidRPr="008A3351">
              <w:rPr>
                <w:webHidden/>
              </w:rPr>
              <w:fldChar w:fldCharType="separate"/>
            </w:r>
            <w:r w:rsidR="00AA2A8F" w:rsidRPr="008A3351">
              <w:rPr>
                <w:webHidden/>
              </w:rPr>
              <w:t>17</w:t>
            </w:r>
            <w:r w:rsidR="00AA2A8F" w:rsidRPr="008A3351">
              <w:rPr>
                <w:webHidden/>
              </w:rPr>
              <w:fldChar w:fldCharType="end"/>
            </w:r>
          </w:hyperlink>
        </w:p>
        <w:p w14:paraId="3762FAB8" w14:textId="62DD75BD" w:rsidR="00AA2A8F" w:rsidRPr="008A3351" w:rsidRDefault="00FD6BB8" w:rsidP="003F306C">
          <w:pPr>
            <w:pStyle w:val="TOC3"/>
            <w:rPr>
              <w:rFonts w:eastAsiaTheme="minorEastAsia"/>
              <w:sz w:val="22"/>
              <w:szCs w:val="22"/>
              <w:lang w:eastAsia="en-CA"/>
            </w:rPr>
          </w:pPr>
          <w:hyperlink w:anchor="_Toc151466323" w:history="1">
            <w:r w:rsidR="00AA2A8F" w:rsidRPr="008A3351">
              <w:rPr>
                <w:rStyle w:val="Hyperlink"/>
              </w:rPr>
              <w:t>Objectifs en matière d’accessibilité atteints ou en cours</w:t>
            </w:r>
            <w:r w:rsidR="00AA2A8F" w:rsidRPr="008A3351">
              <w:rPr>
                <w:webHidden/>
              </w:rPr>
              <w:tab/>
            </w:r>
            <w:r w:rsidR="00AA2A8F" w:rsidRPr="008A3351">
              <w:rPr>
                <w:webHidden/>
              </w:rPr>
              <w:fldChar w:fldCharType="begin"/>
            </w:r>
            <w:r w:rsidR="00AA2A8F" w:rsidRPr="008A3351">
              <w:rPr>
                <w:webHidden/>
              </w:rPr>
              <w:instrText xml:space="preserve"> PAGEREF _Toc151466323 \h </w:instrText>
            </w:r>
            <w:r w:rsidR="00AA2A8F" w:rsidRPr="008A3351">
              <w:rPr>
                <w:webHidden/>
              </w:rPr>
            </w:r>
            <w:r w:rsidR="00AA2A8F" w:rsidRPr="008A3351">
              <w:rPr>
                <w:webHidden/>
              </w:rPr>
              <w:fldChar w:fldCharType="separate"/>
            </w:r>
            <w:r w:rsidR="00AA2A8F" w:rsidRPr="008A3351">
              <w:rPr>
                <w:webHidden/>
              </w:rPr>
              <w:t>18</w:t>
            </w:r>
            <w:r w:rsidR="00AA2A8F" w:rsidRPr="008A3351">
              <w:rPr>
                <w:webHidden/>
              </w:rPr>
              <w:fldChar w:fldCharType="end"/>
            </w:r>
          </w:hyperlink>
        </w:p>
        <w:p w14:paraId="6B39377D" w14:textId="270C0E81" w:rsidR="00AA2A8F" w:rsidRPr="008A3351" w:rsidRDefault="00FD6BB8" w:rsidP="008C7863">
          <w:pPr>
            <w:pStyle w:val="TOC1"/>
            <w:rPr>
              <w:rFonts w:eastAsiaTheme="minorEastAsia"/>
              <w:i/>
              <w:color w:val="auto"/>
              <w:sz w:val="22"/>
              <w:szCs w:val="22"/>
              <w:lang w:eastAsia="en-CA"/>
            </w:rPr>
          </w:pPr>
          <w:hyperlink w:anchor="_Toc151466324" w:history="1">
            <w:r w:rsidR="00AA2A8F" w:rsidRPr="008A3351">
              <w:rPr>
                <w:rStyle w:val="Hyperlink"/>
              </w:rPr>
              <w:t>3</w:t>
            </w:r>
            <w:r w:rsidR="00AA2A8F" w:rsidRPr="008A3351">
              <w:rPr>
                <w:rFonts w:eastAsiaTheme="minorEastAsia"/>
                <w:i/>
                <w:color w:val="auto"/>
                <w:sz w:val="22"/>
                <w:szCs w:val="22"/>
                <w:lang w:eastAsia="en-CA"/>
              </w:rPr>
              <w:tab/>
            </w:r>
            <w:r w:rsidR="00AA2A8F" w:rsidRPr="008A3351">
              <w:rPr>
                <w:rStyle w:val="Hyperlink"/>
              </w:rPr>
              <w:t>Consultations</w:t>
            </w:r>
            <w:r w:rsidR="00AA2A8F" w:rsidRPr="008A3351">
              <w:rPr>
                <w:webHidden/>
              </w:rPr>
              <w:tab/>
            </w:r>
            <w:r w:rsidR="00AA2A8F" w:rsidRPr="008A3351">
              <w:rPr>
                <w:webHidden/>
              </w:rPr>
              <w:fldChar w:fldCharType="begin"/>
            </w:r>
            <w:r w:rsidR="00AA2A8F" w:rsidRPr="008A3351">
              <w:rPr>
                <w:webHidden/>
              </w:rPr>
              <w:instrText xml:space="preserve"> PAGEREF _Toc151466324 \h </w:instrText>
            </w:r>
            <w:r w:rsidR="00AA2A8F" w:rsidRPr="008A3351">
              <w:rPr>
                <w:webHidden/>
              </w:rPr>
            </w:r>
            <w:r w:rsidR="00AA2A8F" w:rsidRPr="008A3351">
              <w:rPr>
                <w:webHidden/>
              </w:rPr>
              <w:fldChar w:fldCharType="separate"/>
            </w:r>
            <w:r w:rsidR="00AA2A8F" w:rsidRPr="008A3351">
              <w:rPr>
                <w:webHidden/>
              </w:rPr>
              <w:t>19</w:t>
            </w:r>
            <w:r w:rsidR="00AA2A8F" w:rsidRPr="008A3351">
              <w:rPr>
                <w:webHidden/>
              </w:rPr>
              <w:fldChar w:fldCharType="end"/>
            </w:r>
          </w:hyperlink>
        </w:p>
        <w:p w14:paraId="0D129DAA" w14:textId="2E400193" w:rsidR="00AA2A8F" w:rsidRPr="008C7863" w:rsidRDefault="00FD6BB8" w:rsidP="008C7863">
          <w:pPr>
            <w:pStyle w:val="TOC2"/>
          </w:pPr>
          <w:hyperlink w:anchor="_Toc151466325" w:history="1">
            <w:r w:rsidR="00AA2A8F" w:rsidRPr="008C7863">
              <w:rPr>
                <w:rStyle w:val="Hyperlink"/>
                <w:color w:val="auto"/>
                <w:u w:val="none"/>
              </w:rPr>
              <w:t>3.1</w:t>
            </w:r>
            <w:r w:rsidR="00AA2A8F" w:rsidRPr="008C7863">
              <w:tab/>
            </w:r>
            <w:r w:rsidR="00AA2A8F" w:rsidRPr="008C7863">
              <w:rPr>
                <w:rStyle w:val="Hyperlink"/>
                <w:color w:val="auto"/>
                <w:u w:val="none"/>
              </w:rPr>
              <w:t>Aperçu du processus de consultation</w:t>
            </w:r>
            <w:r w:rsidR="00AA2A8F" w:rsidRPr="008C7863">
              <w:rPr>
                <w:webHidden/>
              </w:rPr>
              <w:tab/>
            </w:r>
            <w:r w:rsidR="009C1A93" w:rsidRPr="008C7863">
              <w:rPr>
                <w:webHidden/>
              </w:rPr>
              <w:t xml:space="preserve"> </w:t>
            </w:r>
            <w:r w:rsidR="00AA2A8F" w:rsidRPr="008C7863">
              <w:rPr>
                <w:webHidden/>
              </w:rPr>
              <w:fldChar w:fldCharType="begin"/>
            </w:r>
            <w:r w:rsidR="00AA2A8F" w:rsidRPr="008C7863">
              <w:rPr>
                <w:webHidden/>
              </w:rPr>
              <w:instrText xml:space="preserve"> PAGEREF _Toc151466325 \h </w:instrText>
            </w:r>
            <w:r w:rsidR="00AA2A8F" w:rsidRPr="008C7863">
              <w:rPr>
                <w:webHidden/>
              </w:rPr>
            </w:r>
            <w:r w:rsidR="00AA2A8F" w:rsidRPr="008C7863">
              <w:rPr>
                <w:webHidden/>
              </w:rPr>
              <w:fldChar w:fldCharType="separate"/>
            </w:r>
            <w:r w:rsidR="00AA2A8F" w:rsidRPr="008C7863">
              <w:rPr>
                <w:webHidden/>
              </w:rPr>
              <w:t>19</w:t>
            </w:r>
            <w:r w:rsidR="00AA2A8F" w:rsidRPr="008C7863">
              <w:rPr>
                <w:webHidden/>
              </w:rPr>
              <w:fldChar w:fldCharType="end"/>
            </w:r>
          </w:hyperlink>
        </w:p>
        <w:p w14:paraId="1E3741ED" w14:textId="60047190" w:rsidR="00AA2A8F" w:rsidRPr="008C7863" w:rsidRDefault="00FD6BB8" w:rsidP="008C7863">
          <w:pPr>
            <w:pStyle w:val="TOC2"/>
          </w:pPr>
          <w:hyperlink w:anchor="_Toc151466326" w:history="1">
            <w:r w:rsidR="00AA2A8F" w:rsidRPr="008C7863">
              <w:rPr>
                <w:rStyle w:val="Hyperlink"/>
                <w:color w:val="auto"/>
                <w:u w:val="none"/>
              </w:rPr>
              <w:t>3.2</w:t>
            </w:r>
            <w:r w:rsidR="00AA2A8F" w:rsidRPr="008C7863">
              <w:tab/>
            </w:r>
            <w:r w:rsidR="00AA2A8F" w:rsidRPr="008C7863">
              <w:rPr>
                <w:rStyle w:val="Hyperlink"/>
                <w:color w:val="auto"/>
                <w:u w:val="none"/>
              </w:rPr>
              <w:t>Consultations auprès des sénateurs, des employés du Sénat et de la direction</w:t>
            </w:r>
            <w:r w:rsidR="00AA2A8F" w:rsidRPr="008C7863">
              <w:rPr>
                <w:webHidden/>
              </w:rPr>
              <w:tab/>
            </w:r>
            <w:r w:rsidR="00AA2A8F" w:rsidRPr="008C7863">
              <w:rPr>
                <w:webHidden/>
              </w:rPr>
              <w:fldChar w:fldCharType="begin"/>
            </w:r>
            <w:r w:rsidR="00AA2A8F" w:rsidRPr="008C7863">
              <w:rPr>
                <w:webHidden/>
              </w:rPr>
              <w:instrText xml:space="preserve"> PAGEREF _Toc151466326 \h </w:instrText>
            </w:r>
            <w:r w:rsidR="00AA2A8F" w:rsidRPr="008C7863">
              <w:rPr>
                <w:webHidden/>
              </w:rPr>
            </w:r>
            <w:r w:rsidR="00AA2A8F" w:rsidRPr="008C7863">
              <w:rPr>
                <w:webHidden/>
              </w:rPr>
              <w:fldChar w:fldCharType="separate"/>
            </w:r>
            <w:r w:rsidR="00AA2A8F" w:rsidRPr="008C7863">
              <w:rPr>
                <w:webHidden/>
              </w:rPr>
              <w:t>19</w:t>
            </w:r>
            <w:r w:rsidR="00AA2A8F" w:rsidRPr="008C7863">
              <w:rPr>
                <w:webHidden/>
              </w:rPr>
              <w:fldChar w:fldCharType="end"/>
            </w:r>
          </w:hyperlink>
        </w:p>
        <w:p w14:paraId="48E8D94B" w14:textId="66C253EF" w:rsidR="00AA2A8F" w:rsidRPr="008C7863" w:rsidRDefault="00FD6BB8" w:rsidP="008C7863">
          <w:pPr>
            <w:pStyle w:val="TOC2"/>
          </w:pPr>
          <w:hyperlink w:anchor="_Toc151466327" w:history="1">
            <w:r w:rsidR="00AA2A8F" w:rsidRPr="008C7863">
              <w:rPr>
                <w:rStyle w:val="Hyperlink"/>
                <w:color w:val="auto"/>
                <w:u w:val="none"/>
              </w:rPr>
              <w:t>3.3</w:t>
            </w:r>
            <w:r w:rsidR="00AA2A8F" w:rsidRPr="008C7863">
              <w:tab/>
            </w:r>
            <w:r w:rsidR="00AA2A8F" w:rsidRPr="008C7863">
              <w:rPr>
                <w:rStyle w:val="Hyperlink"/>
                <w:color w:val="auto"/>
                <w:u w:val="none"/>
              </w:rPr>
              <w:t>Consultations auprès des personnes ayant participé aux événements du Sénat</w:t>
            </w:r>
            <w:r w:rsidR="00AA2A8F" w:rsidRPr="008C7863">
              <w:rPr>
                <w:webHidden/>
              </w:rPr>
              <w:tab/>
            </w:r>
            <w:r w:rsidR="00AA2A8F" w:rsidRPr="008C7863">
              <w:rPr>
                <w:webHidden/>
              </w:rPr>
              <w:fldChar w:fldCharType="begin"/>
            </w:r>
            <w:r w:rsidR="00AA2A8F" w:rsidRPr="008C7863">
              <w:rPr>
                <w:webHidden/>
              </w:rPr>
              <w:instrText xml:space="preserve"> PAGEREF _Toc151466327 \h </w:instrText>
            </w:r>
            <w:r w:rsidR="00AA2A8F" w:rsidRPr="008C7863">
              <w:rPr>
                <w:webHidden/>
              </w:rPr>
            </w:r>
            <w:r w:rsidR="00AA2A8F" w:rsidRPr="008C7863">
              <w:rPr>
                <w:webHidden/>
              </w:rPr>
              <w:fldChar w:fldCharType="separate"/>
            </w:r>
            <w:r w:rsidR="00AA2A8F" w:rsidRPr="008C7863">
              <w:rPr>
                <w:webHidden/>
              </w:rPr>
              <w:t>20</w:t>
            </w:r>
            <w:r w:rsidR="00AA2A8F" w:rsidRPr="008C7863">
              <w:rPr>
                <w:webHidden/>
              </w:rPr>
              <w:fldChar w:fldCharType="end"/>
            </w:r>
          </w:hyperlink>
        </w:p>
        <w:p w14:paraId="27E4F4EE" w14:textId="4D6A0482" w:rsidR="00AA2A8F" w:rsidRPr="008C7863" w:rsidRDefault="00FD6BB8" w:rsidP="008C7863">
          <w:pPr>
            <w:pStyle w:val="TOC2"/>
          </w:pPr>
          <w:hyperlink w:anchor="_Toc151466328" w:history="1">
            <w:r w:rsidR="00AA2A8F" w:rsidRPr="008C7863">
              <w:rPr>
                <w:rStyle w:val="Hyperlink"/>
                <w:color w:val="auto"/>
                <w:u w:val="none"/>
              </w:rPr>
              <w:t>3.4</w:t>
            </w:r>
            <w:r w:rsidR="00AA2A8F" w:rsidRPr="008C7863">
              <w:tab/>
            </w:r>
            <w:r w:rsidR="00AA2A8F" w:rsidRPr="008C7863">
              <w:rPr>
                <w:rStyle w:val="Hyperlink"/>
                <w:color w:val="auto"/>
                <w:u w:val="none"/>
              </w:rPr>
              <w:t>Consultations auprès des groupes d’intervenants en situation de handicap</w:t>
            </w:r>
            <w:r w:rsidR="00AA2A8F" w:rsidRPr="008C7863">
              <w:rPr>
                <w:webHidden/>
              </w:rPr>
              <w:tab/>
            </w:r>
            <w:r w:rsidR="00AA2A8F" w:rsidRPr="008C7863">
              <w:rPr>
                <w:webHidden/>
              </w:rPr>
              <w:fldChar w:fldCharType="begin"/>
            </w:r>
            <w:r w:rsidR="00AA2A8F" w:rsidRPr="008C7863">
              <w:rPr>
                <w:webHidden/>
              </w:rPr>
              <w:instrText xml:space="preserve"> PAGEREF _Toc151466328 \h </w:instrText>
            </w:r>
            <w:r w:rsidR="00AA2A8F" w:rsidRPr="008C7863">
              <w:rPr>
                <w:webHidden/>
              </w:rPr>
            </w:r>
            <w:r w:rsidR="00AA2A8F" w:rsidRPr="008C7863">
              <w:rPr>
                <w:webHidden/>
              </w:rPr>
              <w:fldChar w:fldCharType="separate"/>
            </w:r>
            <w:r w:rsidR="00AA2A8F" w:rsidRPr="008C7863">
              <w:rPr>
                <w:webHidden/>
              </w:rPr>
              <w:t>20</w:t>
            </w:r>
            <w:r w:rsidR="00AA2A8F" w:rsidRPr="008C7863">
              <w:rPr>
                <w:webHidden/>
              </w:rPr>
              <w:fldChar w:fldCharType="end"/>
            </w:r>
          </w:hyperlink>
        </w:p>
        <w:p w14:paraId="15950A68" w14:textId="7D746EE1" w:rsidR="00AA2A8F" w:rsidRPr="008C7863" w:rsidRDefault="00FD6BB8" w:rsidP="008C7863">
          <w:pPr>
            <w:pStyle w:val="TOC2"/>
          </w:pPr>
          <w:hyperlink w:anchor="_Toc151466329" w:history="1">
            <w:r w:rsidR="00AA2A8F" w:rsidRPr="008C7863">
              <w:rPr>
                <w:rStyle w:val="Hyperlink"/>
                <w:color w:val="auto"/>
                <w:u w:val="none"/>
              </w:rPr>
              <w:t>3.5</w:t>
            </w:r>
            <w:r w:rsidR="00AA2A8F" w:rsidRPr="008C7863">
              <w:tab/>
            </w:r>
            <w:r w:rsidR="00AA2A8F" w:rsidRPr="008C7863">
              <w:rPr>
                <w:rStyle w:val="Hyperlink"/>
                <w:color w:val="auto"/>
                <w:u w:val="none"/>
              </w:rPr>
              <w:t>Synthèse des résultats des consultations</w:t>
            </w:r>
            <w:r w:rsidR="00AA2A8F" w:rsidRPr="008C7863">
              <w:rPr>
                <w:webHidden/>
              </w:rPr>
              <w:tab/>
            </w:r>
            <w:r w:rsidR="00AA2A8F" w:rsidRPr="008C7863">
              <w:rPr>
                <w:webHidden/>
              </w:rPr>
              <w:fldChar w:fldCharType="begin"/>
            </w:r>
            <w:r w:rsidR="00AA2A8F" w:rsidRPr="008C7863">
              <w:rPr>
                <w:webHidden/>
              </w:rPr>
              <w:instrText xml:space="preserve"> PAGEREF _Toc151466329 \h </w:instrText>
            </w:r>
            <w:r w:rsidR="00AA2A8F" w:rsidRPr="008C7863">
              <w:rPr>
                <w:webHidden/>
              </w:rPr>
            </w:r>
            <w:r w:rsidR="00AA2A8F" w:rsidRPr="008C7863">
              <w:rPr>
                <w:webHidden/>
              </w:rPr>
              <w:fldChar w:fldCharType="separate"/>
            </w:r>
            <w:r w:rsidR="00AA2A8F" w:rsidRPr="008C7863">
              <w:rPr>
                <w:webHidden/>
              </w:rPr>
              <w:t>21</w:t>
            </w:r>
            <w:r w:rsidR="00AA2A8F" w:rsidRPr="008C7863">
              <w:rPr>
                <w:webHidden/>
              </w:rPr>
              <w:fldChar w:fldCharType="end"/>
            </w:r>
          </w:hyperlink>
        </w:p>
        <w:p w14:paraId="11BCF740" w14:textId="22AD3826" w:rsidR="00AA2A8F" w:rsidRPr="008A3351" w:rsidRDefault="00FD6BB8" w:rsidP="008C7863">
          <w:pPr>
            <w:pStyle w:val="TOC1"/>
            <w:rPr>
              <w:rFonts w:eastAsiaTheme="minorEastAsia"/>
              <w:i/>
              <w:color w:val="auto"/>
              <w:sz w:val="22"/>
              <w:szCs w:val="22"/>
              <w:lang w:eastAsia="en-CA"/>
            </w:rPr>
          </w:pPr>
          <w:hyperlink w:anchor="_Toc151466330" w:history="1">
            <w:r w:rsidR="00AA2A8F" w:rsidRPr="008A3351">
              <w:rPr>
                <w:rStyle w:val="Hyperlink"/>
              </w:rPr>
              <w:t>4</w:t>
            </w:r>
            <w:r w:rsidR="00AA2A8F" w:rsidRPr="008A3351">
              <w:rPr>
                <w:rFonts w:eastAsiaTheme="minorEastAsia"/>
                <w:i/>
                <w:color w:val="auto"/>
                <w:sz w:val="22"/>
                <w:szCs w:val="22"/>
                <w:lang w:eastAsia="en-CA"/>
              </w:rPr>
              <w:tab/>
            </w:r>
            <w:r w:rsidR="00AA2A8F" w:rsidRPr="008A3351">
              <w:rPr>
                <w:rStyle w:val="Hyperlink"/>
              </w:rPr>
              <w:t>Rétroactions</w:t>
            </w:r>
            <w:r w:rsidR="00AA2A8F" w:rsidRPr="008A3351">
              <w:rPr>
                <w:webHidden/>
              </w:rPr>
              <w:tab/>
            </w:r>
            <w:r w:rsidR="00AA2A8F" w:rsidRPr="008A3351">
              <w:rPr>
                <w:webHidden/>
              </w:rPr>
              <w:fldChar w:fldCharType="begin"/>
            </w:r>
            <w:r w:rsidR="00AA2A8F" w:rsidRPr="008A3351">
              <w:rPr>
                <w:webHidden/>
              </w:rPr>
              <w:instrText xml:space="preserve"> PAGEREF _Toc151466330 \h </w:instrText>
            </w:r>
            <w:r w:rsidR="00AA2A8F" w:rsidRPr="008A3351">
              <w:rPr>
                <w:webHidden/>
              </w:rPr>
            </w:r>
            <w:r w:rsidR="00AA2A8F" w:rsidRPr="008A3351">
              <w:rPr>
                <w:webHidden/>
              </w:rPr>
              <w:fldChar w:fldCharType="separate"/>
            </w:r>
            <w:r w:rsidR="00AA2A8F" w:rsidRPr="008A3351">
              <w:rPr>
                <w:webHidden/>
              </w:rPr>
              <w:t>23</w:t>
            </w:r>
            <w:r w:rsidR="00AA2A8F" w:rsidRPr="008A3351">
              <w:rPr>
                <w:webHidden/>
              </w:rPr>
              <w:fldChar w:fldCharType="end"/>
            </w:r>
          </w:hyperlink>
        </w:p>
        <w:p w14:paraId="1965FFF5" w14:textId="6D4D7C48" w:rsidR="00AA2A8F" w:rsidRPr="008A3351" w:rsidRDefault="00FD6BB8" w:rsidP="008C7863">
          <w:pPr>
            <w:pStyle w:val="TOC2"/>
            <w:rPr>
              <w:rFonts w:eastAsiaTheme="minorEastAsia"/>
              <w:sz w:val="22"/>
              <w:szCs w:val="22"/>
              <w:lang w:eastAsia="en-CA"/>
            </w:rPr>
          </w:pPr>
          <w:hyperlink w:anchor="_Toc151466331" w:history="1">
            <w:r w:rsidR="00AA2A8F" w:rsidRPr="008A3351">
              <w:rPr>
                <w:rStyle w:val="Hyperlink"/>
              </w:rPr>
              <w:t>4.1</w:t>
            </w:r>
            <w:r w:rsidR="00AA2A8F" w:rsidRPr="008A3351">
              <w:rPr>
                <w:rFonts w:eastAsiaTheme="minorEastAsia"/>
                <w:sz w:val="22"/>
                <w:szCs w:val="22"/>
                <w:lang w:eastAsia="en-CA"/>
              </w:rPr>
              <w:tab/>
            </w:r>
            <w:r w:rsidR="00AA2A8F" w:rsidRPr="008A3351">
              <w:rPr>
                <w:rStyle w:val="Hyperlink"/>
              </w:rPr>
              <w:t>Statistiques sur les rétroactions</w:t>
            </w:r>
            <w:r w:rsidR="00AA2A8F" w:rsidRPr="008A3351">
              <w:rPr>
                <w:webHidden/>
              </w:rPr>
              <w:tab/>
            </w:r>
            <w:r w:rsidR="00AA2A8F" w:rsidRPr="008A3351">
              <w:rPr>
                <w:webHidden/>
              </w:rPr>
              <w:fldChar w:fldCharType="begin"/>
            </w:r>
            <w:r w:rsidR="00AA2A8F" w:rsidRPr="008A3351">
              <w:rPr>
                <w:webHidden/>
              </w:rPr>
              <w:instrText xml:space="preserve"> PAGEREF _Toc151466331 \h </w:instrText>
            </w:r>
            <w:r w:rsidR="00AA2A8F" w:rsidRPr="008A3351">
              <w:rPr>
                <w:webHidden/>
              </w:rPr>
            </w:r>
            <w:r w:rsidR="00AA2A8F" w:rsidRPr="008A3351">
              <w:rPr>
                <w:webHidden/>
              </w:rPr>
              <w:fldChar w:fldCharType="separate"/>
            </w:r>
            <w:r w:rsidR="00AA2A8F" w:rsidRPr="008A3351">
              <w:rPr>
                <w:webHidden/>
              </w:rPr>
              <w:t>23</w:t>
            </w:r>
            <w:r w:rsidR="00AA2A8F" w:rsidRPr="008A3351">
              <w:rPr>
                <w:webHidden/>
              </w:rPr>
              <w:fldChar w:fldCharType="end"/>
            </w:r>
          </w:hyperlink>
        </w:p>
        <w:p w14:paraId="79192C32" w14:textId="1D7DB36D" w:rsidR="00AA2A8F" w:rsidRPr="008A3351" w:rsidRDefault="00FD6BB8" w:rsidP="008C7863">
          <w:pPr>
            <w:pStyle w:val="TOC2"/>
            <w:rPr>
              <w:rFonts w:eastAsiaTheme="minorEastAsia"/>
              <w:sz w:val="22"/>
              <w:szCs w:val="22"/>
              <w:lang w:eastAsia="en-CA"/>
            </w:rPr>
          </w:pPr>
          <w:hyperlink w:anchor="_Toc151466332" w:history="1">
            <w:r w:rsidR="00AA2A8F" w:rsidRPr="008A3351">
              <w:rPr>
                <w:rStyle w:val="Hyperlink"/>
              </w:rPr>
              <w:t>4.2</w:t>
            </w:r>
            <w:r w:rsidR="00AA2A8F" w:rsidRPr="008A3351">
              <w:rPr>
                <w:rFonts w:eastAsiaTheme="minorEastAsia"/>
                <w:sz w:val="22"/>
                <w:szCs w:val="22"/>
                <w:lang w:eastAsia="en-CA"/>
              </w:rPr>
              <w:tab/>
            </w:r>
            <w:r w:rsidR="00AA2A8F" w:rsidRPr="008A3351">
              <w:rPr>
                <w:rStyle w:val="Hyperlink"/>
              </w:rPr>
              <w:t>Rétroactions relatives aux obstacles</w:t>
            </w:r>
            <w:r w:rsidR="00AA2A8F" w:rsidRPr="008A3351">
              <w:rPr>
                <w:webHidden/>
              </w:rPr>
              <w:tab/>
            </w:r>
            <w:r w:rsidR="00AA2A8F" w:rsidRPr="008A3351">
              <w:rPr>
                <w:webHidden/>
              </w:rPr>
              <w:fldChar w:fldCharType="begin"/>
            </w:r>
            <w:r w:rsidR="00AA2A8F" w:rsidRPr="008A3351">
              <w:rPr>
                <w:webHidden/>
              </w:rPr>
              <w:instrText xml:space="preserve"> PAGEREF _Toc151466332 \h </w:instrText>
            </w:r>
            <w:r w:rsidR="00AA2A8F" w:rsidRPr="008A3351">
              <w:rPr>
                <w:webHidden/>
              </w:rPr>
            </w:r>
            <w:r w:rsidR="00AA2A8F" w:rsidRPr="008A3351">
              <w:rPr>
                <w:webHidden/>
              </w:rPr>
              <w:fldChar w:fldCharType="separate"/>
            </w:r>
            <w:r w:rsidR="00AA2A8F" w:rsidRPr="008A3351">
              <w:rPr>
                <w:webHidden/>
              </w:rPr>
              <w:t>24</w:t>
            </w:r>
            <w:r w:rsidR="00AA2A8F" w:rsidRPr="008A3351">
              <w:rPr>
                <w:webHidden/>
              </w:rPr>
              <w:fldChar w:fldCharType="end"/>
            </w:r>
          </w:hyperlink>
        </w:p>
        <w:p w14:paraId="55C18455" w14:textId="6DF90F91" w:rsidR="00AA2A8F" w:rsidRPr="008A3351" w:rsidRDefault="00FD6BB8" w:rsidP="008C7863">
          <w:pPr>
            <w:pStyle w:val="TOC2"/>
            <w:rPr>
              <w:rFonts w:eastAsiaTheme="minorEastAsia"/>
              <w:sz w:val="22"/>
              <w:szCs w:val="22"/>
              <w:lang w:eastAsia="en-CA"/>
            </w:rPr>
          </w:pPr>
          <w:hyperlink w:anchor="_Toc151466333" w:history="1">
            <w:r w:rsidR="00AA2A8F" w:rsidRPr="008A3351">
              <w:rPr>
                <w:rStyle w:val="Hyperlink"/>
              </w:rPr>
              <w:t>4.3</w:t>
            </w:r>
            <w:r w:rsidR="00AA2A8F" w:rsidRPr="008A3351">
              <w:rPr>
                <w:rFonts w:eastAsiaTheme="minorEastAsia"/>
                <w:sz w:val="22"/>
                <w:szCs w:val="22"/>
                <w:lang w:eastAsia="en-CA"/>
              </w:rPr>
              <w:tab/>
            </w:r>
            <w:r w:rsidR="00AA2A8F" w:rsidRPr="008A3351">
              <w:rPr>
                <w:rStyle w:val="Hyperlink"/>
              </w:rPr>
              <w:t>Rétroactions relatives à la mise en œuvre du plan</w:t>
            </w:r>
            <w:r w:rsidR="00AA2A8F" w:rsidRPr="008A3351">
              <w:rPr>
                <w:webHidden/>
              </w:rPr>
              <w:tab/>
            </w:r>
            <w:r w:rsidR="00AA2A8F" w:rsidRPr="008A3351">
              <w:rPr>
                <w:webHidden/>
              </w:rPr>
              <w:fldChar w:fldCharType="begin"/>
            </w:r>
            <w:r w:rsidR="00AA2A8F" w:rsidRPr="008A3351">
              <w:rPr>
                <w:webHidden/>
              </w:rPr>
              <w:instrText xml:space="preserve"> PAGEREF _Toc151466333 \h </w:instrText>
            </w:r>
            <w:r w:rsidR="00AA2A8F" w:rsidRPr="008A3351">
              <w:rPr>
                <w:webHidden/>
              </w:rPr>
            </w:r>
            <w:r w:rsidR="00AA2A8F" w:rsidRPr="008A3351">
              <w:rPr>
                <w:webHidden/>
              </w:rPr>
              <w:fldChar w:fldCharType="separate"/>
            </w:r>
            <w:r w:rsidR="00AA2A8F" w:rsidRPr="008A3351">
              <w:rPr>
                <w:webHidden/>
              </w:rPr>
              <w:t>25</w:t>
            </w:r>
            <w:r w:rsidR="00AA2A8F" w:rsidRPr="008A3351">
              <w:rPr>
                <w:webHidden/>
              </w:rPr>
              <w:fldChar w:fldCharType="end"/>
            </w:r>
          </w:hyperlink>
        </w:p>
        <w:p w14:paraId="7BFE889E" w14:textId="23DDDB82" w:rsidR="00AA2A8F" w:rsidRPr="008A3351" w:rsidRDefault="00FD6BB8" w:rsidP="008C7863">
          <w:pPr>
            <w:pStyle w:val="TOC2"/>
            <w:rPr>
              <w:rFonts w:eastAsiaTheme="minorEastAsia"/>
              <w:sz w:val="22"/>
              <w:szCs w:val="22"/>
              <w:lang w:eastAsia="en-CA"/>
            </w:rPr>
          </w:pPr>
          <w:hyperlink w:anchor="_Toc151466334" w:history="1">
            <w:r w:rsidR="00AA2A8F" w:rsidRPr="008A3351">
              <w:rPr>
                <w:rStyle w:val="Hyperlink"/>
              </w:rPr>
              <w:t>4.4</w:t>
            </w:r>
            <w:r w:rsidR="00AA2A8F" w:rsidRPr="008A3351">
              <w:rPr>
                <w:rFonts w:eastAsiaTheme="minorEastAsia"/>
                <w:sz w:val="22"/>
                <w:szCs w:val="22"/>
                <w:lang w:eastAsia="en-CA"/>
              </w:rPr>
              <w:tab/>
            </w:r>
            <w:r w:rsidR="00AA2A8F" w:rsidRPr="008A3351">
              <w:rPr>
                <w:rStyle w:val="Hyperlink"/>
              </w:rPr>
              <w:t>Rétroactions visant à améliorer l’accessibilité au Sénat</w:t>
            </w:r>
            <w:r w:rsidR="00AA2A8F" w:rsidRPr="008A3351">
              <w:rPr>
                <w:webHidden/>
              </w:rPr>
              <w:tab/>
            </w:r>
            <w:r w:rsidR="00AA2A8F" w:rsidRPr="008A3351">
              <w:rPr>
                <w:webHidden/>
              </w:rPr>
              <w:fldChar w:fldCharType="begin"/>
            </w:r>
            <w:r w:rsidR="00AA2A8F" w:rsidRPr="008A3351">
              <w:rPr>
                <w:webHidden/>
              </w:rPr>
              <w:instrText xml:space="preserve"> PAGEREF _Toc151466334 \h </w:instrText>
            </w:r>
            <w:r w:rsidR="00AA2A8F" w:rsidRPr="008A3351">
              <w:rPr>
                <w:webHidden/>
              </w:rPr>
            </w:r>
            <w:r w:rsidR="00AA2A8F" w:rsidRPr="008A3351">
              <w:rPr>
                <w:webHidden/>
              </w:rPr>
              <w:fldChar w:fldCharType="separate"/>
            </w:r>
            <w:r w:rsidR="00AA2A8F" w:rsidRPr="008A3351">
              <w:rPr>
                <w:webHidden/>
              </w:rPr>
              <w:t>26</w:t>
            </w:r>
            <w:r w:rsidR="00AA2A8F" w:rsidRPr="008A3351">
              <w:rPr>
                <w:webHidden/>
              </w:rPr>
              <w:fldChar w:fldCharType="end"/>
            </w:r>
          </w:hyperlink>
        </w:p>
        <w:p w14:paraId="6ECC0A22" w14:textId="76AD7360" w:rsidR="00AA2A8F" w:rsidRPr="008A3351" w:rsidRDefault="00FD6BB8" w:rsidP="008C7863">
          <w:pPr>
            <w:pStyle w:val="TOC1"/>
            <w:rPr>
              <w:rFonts w:eastAsiaTheme="minorEastAsia"/>
              <w:i/>
              <w:color w:val="auto"/>
              <w:sz w:val="22"/>
              <w:szCs w:val="22"/>
              <w:lang w:eastAsia="en-CA"/>
            </w:rPr>
          </w:pPr>
          <w:hyperlink w:anchor="_Toc151466335" w:history="1">
            <w:r w:rsidR="00AA2A8F" w:rsidRPr="008A3351">
              <w:rPr>
                <w:rStyle w:val="Hyperlink"/>
              </w:rPr>
              <w:t>5</w:t>
            </w:r>
            <w:r w:rsidR="00AA2A8F" w:rsidRPr="008A3351">
              <w:rPr>
                <w:rFonts w:eastAsiaTheme="minorEastAsia"/>
                <w:i/>
                <w:color w:val="auto"/>
                <w:sz w:val="22"/>
                <w:szCs w:val="22"/>
                <w:lang w:eastAsia="en-CA"/>
              </w:rPr>
              <w:tab/>
            </w:r>
            <w:r w:rsidR="00AA2A8F" w:rsidRPr="008A3351">
              <w:rPr>
                <w:rStyle w:val="Hyperlink"/>
              </w:rPr>
              <w:t>Conclusion</w:t>
            </w:r>
            <w:r w:rsidR="00AA2A8F" w:rsidRPr="008A3351">
              <w:rPr>
                <w:webHidden/>
              </w:rPr>
              <w:tab/>
            </w:r>
            <w:r w:rsidR="00AA2A8F" w:rsidRPr="008A3351">
              <w:rPr>
                <w:webHidden/>
              </w:rPr>
              <w:fldChar w:fldCharType="begin"/>
            </w:r>
            <w:r w:rsidR="00AA2A8F" w:rsidRPr="008A3351">
              <w:rPr>
                <w:webHidden/>
              </w:rPr>
              <w:instrText xml:space="preserve"> PAGEREF _Toc151466335 \h </w:instrText>
            </w:r>
            <w:r w:rsidR="00AA2A8F" w:rsidRPr="008A3351">
              <w:rPr>
                <w:webHidden/>
              </w:rPr>
            </w:r>
            <w:r w:rsidR="00AA2A8F" w:rsidRPr="008A3351">
              <w:rPr>
                <w:webHidden/>
              </w:rPr>
              <w:fldChar w:fldCharType="separate"/>
            </w:r>
            <w:r w:rsidR="00AA2A8F" w:rsidRPr="008A3351">
              <w:rPr>
                <w:webHidden/>
              </w:rPr>
              <w:t>27</w:t>
            </w:r>
            <w:r w:rsidR="00AA2A8F" w:rsidRPr="008A3351">
              <w:rPr>
                <w:webHidden/>
              </w:rPr>
              <w:fldChar w:fldCharType="end"/>
            </w:r>
          </w:hyperlink>
        </w:p>
        <w:p w14:paraId="24ADBA8E" w14:textId="25C3661E" w:rsidR="00AA2A8F" w:rsidRPr="008A3351" w:rsidRDefault="00FD6BB8" w:rsidP="008C7863">
          <w:pPr>
            <w:pStyle w:val="TOC1"/>
            <w:rPr>
              <w:rFonts w:eastAsiaTheme="minorEastAsia"/>
              <w:i/>
              <w:color w:val="auto"/>
              <w:sz w:val="22"/>
              <w:szCs w:val="22"/>
              <w:lang w:eastAsia="en-CA"/>
            </w:rPr>
          </w:pPr>
          <w:hyperlink w:anchor="_Toc151466336" w:history="1">
            <w:r w:rsidR="00AA2A8F" w:rsidRPr="008A3351">
              <w:rPr>
                <w:rStyle w:val="Hyperlink"/>
              </w:rPr>
              <w:t>6</w:t>
            </w:r>
            <w:r w:rsidR="00AA2A8F" w:rsidRPr="008A3351">
              <w:rPr>
                <w:rFonts w:eastAsiaTheme="minorEastAsia"/>
                <w:i/>
                <w:color w:val="auto"/>
                <w:sz w:val="22"/>
                <w:szCs w:val="22"/>
                <w:lang w:eastAsia="en-CA"/>
              </w:rPr>
              <w:tab/>
            </w:r>
            <w:r w:rsidR="00AA2A8F" w:rsidRPr="008A3351">
              <w:rPr>
                <w:rStyle w:val="Hyperlink"/>
              </w:rPr>
              <w:t>Annexe A</w:t>
            </w:r>
            <w:r w:rsidR="00AA2A8F" w:rsidRPr="008A3351">
              <w:rPr>
                <w:webHidden/>
              </w:rPr>
              <w:tab/>
            </w:r>
            <w:r w:rsidR="00AA2A8F" w:rsidRPr="008A3351">
              <w:rPr>
                <w:webHidden/>
              </w:rPr>
              <w:fldChar w:fldCharType="begin"/>
            </w:r>
            <w:r w:rsidR="00AA2A8F" w:rsidRPr="008A3351">
              <w:rPr>
                <w:webHidden/>
              </w:rPr>
              <w:instrText xml:space="preserve"> PAGEREF _Toc151466336 \h </w:instrText>
            </w:r>
            <w:r w:rsidR="00AA2A8F" w:rsidRPr="008A3351">
              <w:rPr>
                <w:webHidden/>
              </w:rPr>
            </w:r>
            <w:r w:rsidR="00AA2A8F" w:rsidRPr="008A3351">
              <w:rPr>
                <w:webHidden/>
              </w:rPr>
              <w:fldChar w:fldCharType="separate"/>
            </w:r>
            <w:r w:rsidR="00AA2A8F" w:rsidRPr="008A3351">
              <w:rPr>
                <w:webHidden/>
              </w:rPr>
              <w:t>28</w:t>
            </w:r>
            <w:r w:rsidR="00AA2A8F" w:rsidRPr="008A3351">
              <w:rPr>
                <w:webHidden/>
              </w:rPr>
              <w:fldChar w:fldCharType="end"/>
            </w:r>
          </w:hyperlink>
        </w:p>
        <w:p w14:paraId="01E31708" w14:textId="37DAAB55" w:rsidR="00415E22" w:rsidRPr="008A3351" w:rsidRDefault="00624B8F" w:rsidP="008C7863">
          <w:pPr>
            <w:pStyle w:val="TOC1"/>
          </w:pPr>
          <w:r w:rsidRPr="008A3351">
            <w:fldChar w:fldCharType="end"/>
          </w:r>
        </w:p>
      </w:sdtContent>
    </w:sdt>
    <w:p w14:paraId="6EF91BB5" w14:textId="77777777" w:rsidR="00765EDA" w:rsidRPr="008A3351" w:rsidRDefault="00765EDA" w:rsidP="008C7863">
      <w:pPr>
        <w:pStyle w:val="TOC2"/>
        <w:sectPr w:rsidR="00765EDA" w:rsidRPr="008A3351" w:rsidSect="00D92F7A">
          <w:headerReference w:type="default" r:id="rId12"/>
          <w:footerReference w:type="default" r:id="rId13"/>
          <w:pgSz w:w="12240" w:h="15840"/>
          <w:pgMar w:top="1440" w:right="1440" w:bottom="1440" w:left="1440" w:header="708" w:footer="708" w:gutter="0"/>
          <w:cols w:space="708"/>
          <w:docGrid w:linePitch="360"/>
        </w:sectPr>
      </w:pPr>
    </w:p>
    <w:p w14:paraId="2E0E4FE2" w14:textId="398C00C5" w:rsidR="000C77B0" w:rsidRPr="008A3351" w:rsidRDefault="13217F95" w:rsidP="007D3C3F">
      <w:pPr>
        <w:pStyle w:val="Heading1"/>
        <w:spacing w:line="240" w:lineRule="auto"/>
        <w:rPr>
          <w:lang w:val="fr-CA"/>
        </w:rPr>
      </w:pPr>
      <w:bookmarkStart w:id="0" w:name="_Toc151466297"/>
      <w:r w:rsidRPr="008A3351">
        <w:rPr>
          <w:lang w:val="fr-CA"/>
        </w:rPr>
        <w:lastRenderedPageBreak/>
        <w:t>Généralités</w:t>
      </w:r>
      <w:bookmarkEnd w:id="0"/>
      <w:r w:rsidRPr="008A3351">
        <w:rPr>
          <w:lang w:val="fr-CA"/>
        </w:rPr>
        <w:t xml:space="preserve"> </w:t>
      </w:r>
    </w:p>
    <w:p w14:paraId="1D4E37E3" w14:textId="3564B029" w:rsidR="00B568C1" w:rsidRPr="008A3351" w:rsidRDefault="07F31279" w:rsidP="007D3C3F">
      <w:pPr>
        <w:pStyle w:val="Heading2"/>
        <w:spacing w:line="240" w:lineRule="auto"/>
        <w:rPr>
          <w:lang w:val="fr-CA"/>
        </w:rPr>
      </w:pPr>
      <w:bookmarkStart w:id="1" w:name="_Toc151466298"/>
      <w:r w:rsidRPr="008A3351">
        <w:rPr>
          <w:lang w:val="fr-CA"/>
        </w:rPr>
        <w:t>Déclaration d’engagement</w:t>
      </w:r>
      <w:bookmarkEnd w:id="1"/>
      <w:r w:rsidRPr="008A3351">
        <w:rPr>
          <w:lang w:val="fr-CA"/>
        </w:rPr>
        <w:t xml:space="preserve"> </w:t>
      </w:r>
    </w:p>
    <w:p w14:paraId="2A107F4B" w14:textId="0954634C" w:rsidR="00C07B41" w:rsidRPr="008A3351" w:rsidRDefault="49C220DB" w:rsidP="00A10601">
      <w:pPr>
        <w:rPr>
          <w:lang w:val="fr-CA"/>
        </w:rPr>
      </w:pPr>
      <w:r w:rsidRPr="008A3351">
        <w:rPr>
          <w:lang w:val="fr-CA"/>
        </w:rPr>
        <w:t xml:space="preserve">Le Sénat s’engage à représenter la diversité du Canada et à donner une voix à de nombreux groupes sous-représentés, y compris aux personnes en situation de handicap. Pour que tous les Canadiens puissent participer pleinement aux activités de leurs institutions démocratiques, le Sénat s’engage à rendre accessibles tous les aspects de ses activités. L’accessibilité est un processus continu, et le Sénat s’efforce de l’améliorer en permanence en restant à l’écoute des personnes en situation de handicap. </w:t>
      </w:r>
    </w:p>
    <w:p w14:paraId="6C58D1EC" w14:textId="7FF39689" w:rsidR="009278DE" w:rsidRPr="008A3351" w:rsidRDefault="4BA2450D" w:rsidP="007D3C3F">
      <w:pPr>
        <w:pStyle w:val="Heading2"/>
        <w:spacing w:line="240" w:lineRule="auto"/>
        <w:rPr>
          <w:lang w:val="fr-CA"/>
        </w:rPr>
      </w:pPr>
      <w:bookmarkStart w:id="2" w:name="_Toc151466299"/>
      <w:r w:rsidRPr="008A3351">
        <w:rPr>
          <w:lang w:val="fr-CA"/>
        </w:rPr>
        <w:t>Coordonnées et processus de rétroaction</w:t>
      </w:r>
      <w:bookmarkEnd w:id="2"/>
      <w:r w:rsidRPr="008A3351">
        <w:rPr>
          <w:lang w:val="fr-CA"/>
        </w:rPr>
        <w:t xml:space="preserve"> </w:t>
      </w:r>
    </w:p>
    <w:p w14:paraId="52025C33" w14:textId="6ECE4F2E" w:rsidR="00C07B41" w:rsidRPr="008A3351" w:rsidRDefault="49C220DB" w:rsidP="00A10601">
      <w:pPr>
        <w:rPr>
          <w:lang w:val="fr-CA"/>
        </w:rPr>
      </w:pPr>
      <w:r w:rsidRPr="008A3351">
        <w:rPr>
          <w:lang w:val="fr-CA"/>
        </w:rPr>
        <w:t xml:space="preserve">Le Sénat est heureux de recueillir des commentaires, y compris les commentaires </w:t>
      </w:r>
      <w:r w:rsidRPr="008A3351">
        <w:rPr>
          <w:spacing w:val="-2"/>
          <w:lang w:val="fr-CA"/>
        </w:rPr>
        <w:t>anonymes, de la part des sénateurs, des employés et des membres du public concernant</w:t>
      </w:r>
      <w:r w:rsidRPr="008A3351">
        <w:rPr>
          <w:lang w:val="fr-CA"/>
        </w:rPr>
        <w:t xml:space="preserve"> l’accessibilité au Sénat et le </w:t>
      </w:r>
      <w:hyperlink r:id="rId14" w:history="1">
        <w:r w:rsidRPr="008A3351">
          <w:rPr>
            <w:rStyle w:val="Hyperlink"/>
            <w:lang w:val="fr-CA"/>
          </w:rPr>
          <w:t>Plan d’accessibilité 2023–2025</w:t>
        </w:r>
      </w:hyperlink>
      <w:r w:rsidRPr="008A3351">
        <w:rPr>
          <w:lang w:val="fr-CA"/>
        </w:rPr>
        <w:t xml:space="preserve"> proposé ici. Nous nous engageons à étudier les commentaires que nous recevons en toute bonne foi et à prendre les mesures qui s’imposent pour remédier aux obstacles à l’accessibilité qui sont indiqués dans ces commentaires. </w:t>
      </w:r>
    </w:p>
    <w:p w14:paraId="3F97FEAC" w14:textId="14455A42" w:rsidR="00C07B41" w:rsidRPr="008A3351" w:rsidRDefault="49C220DB" w:rsidP="00A10601">
      <w:pPr>
        <w:rPr>
          <w:lang w:val="fr-CA"/>
        </w:rPr>
      </w:pPr>
      <w:r w:rsidRPr="008A3351">
        <w:rPr>
          <w:lang w:val="fr-CA"/>
        </w:rPr>
        <w:t>Vous pouvez envoyer vos commentaires à l’agent</w:t>
      </w:r>
      <w:r w:rsidR="006B7396" w:rsidRPr="008A3351">
        <w:rPr>
          <w:lang w:val="fr-CA"/>
        </w:rPr>
        <w:t>e</w:t>
      </w:r>
      <w:r w:rsidRPr="008A3351">
        <w:rPr>
          <w:lang w:val="fr-CA"/>
        </w:rPr>
        <w:t xml:space="preserve"> à l’accessibilité du Sénat à </w:t>
      </w:r>
      <w:hyperlink r:id="rId15">
        <w:r w:rsidRPr="008A3351">
          <w:rPr>
            <w:rStyle w:val="Hyperlink"/>
            <w:lang w:val="fr-CA"/>
          </w:rPr>
          <w:t>accessible@sen.parl.gc.ca</w:t>
        </w:r>
      </w:hyperlink>
      <w:r w:rsidRPr="008A3351">
        <w:rPr>
          <w:lang w:val="fr-CA"/>
        </w:rPr>
        <w:t xml:space="preserve"> ou au 1</w:t>
      </w:r>
      <w:r w:rsidR="00F72C70" w:rsidRPr="008A3351">
        <w:rPr>
          <w:lang w:val="fr-CA"/>
        </w:rPr>
        <w:t>-</w:t>
      </w:r>
      <w:r w:rsidRPr="008A3351">
        <w:rPr>
          <w:lang w:val="fr-CA"/>
        </w:rPr>
        <w:t>888</w:t>
      </w:r>
      <w:r w:rsidR="00F72C70" w:rsidRPr="008A3351">
        <w:rPr>
          <w:lang w:val="fr-CA"/>
        </w:rPr>
        <w:t>-</w:t>
      </w:r>
      <w:r w:rsidRPr="008A3351">
        <w:rPr>
          <w:lang w:val="fr-CA"/>
        </w:rPr>
        <w:t>810-9470.</w:t>
      </w:r>
    </w:p>
    <w:p w14:paraId="4511E6C6" w14:textId="7FB247E6" w:rsidR="00C07B41" w:rsidRPr="008A3351" w:rsidRDefault="11BC774C" w:rsidP="217966B4">
      <w:pPr>
        <w:spacing w:line="240" w:lineRule="auto"/>
        <w:rPr>
          <w:highlight w:val="yellow"/>
          <w:lang w:val="fr-CA"/>
        </w:rPr>
      </w:pPr>
      <w:r w:rsidRPr="008A3351">
        <w:rPr>
          <w:lang w:val="fr-CA"/>
        </w:rPr>
        <w:t>Vous pouvez aussi les envoyer par la poste à l’adresse suivante :</w:t>
      </w:r>
    </w:p>
    <w:p w14:paraId="4DB01511" w14:textId="33CE27B3" w:rsidR="006F3540" w:rsidRPr="008A3351" w:rsidRDefault="00F72C70" w:rsidP="217966B4">
      <w:pPr>
        <w:spacing w:before="120" w:after="120" w:line="240" w:lineRule="auto"/>
        <w:ind w:left="720"/>
        <w:rPr>
          <w:lang w:val="fr-CA"/>
        </w:rPr>
      </w:pPr>
      <w:bookmarkStart w:id="3" w:name="_Hlk119672781"/>
      <w:bookmarkStart w:id="4" w:name="_Hlk119680452"/>
      <w:r w:rsidRPr="008A3351">
        <w:rPr>
          <w:lang w:val="fr-CA"/>
        </w:rPr>
        <w:t>L’</w:t>
      </w:r>
      <w:r w:rsidR="229AB57C" w:rsidRPr="008A3351">
        <w:rPr>
          <w:lang w:val="fr-CA"/>
        </w:rPr>
        <w:t>Agent à l’accessibilité</w:t>
      </w:r>
    </w:p>
    <w:p w14:paraId="318B0F54" w14:textId="3F043CF5" w:rsidR="0071475C" w:rsidRPr="008A3351" w:rsidRDefault="0071475C" w:rsidP="006F3540">
      <w:pPr>
        <w:spacing w:before="120" w:after="120" w:line="240" w:lineRule="auto"/>
        <w:ind w:left="720"/>
        <w:rPr>
          <w:rFonts w:cstheme="minorHAnsi"/>
          <w:lang w:val="fr-CA"/>
        </w:rPr>
      </w:pPr>
      <w:r w:rsidRPr="008A3351">
        <w:rPr>
          <w:lang w:val="fr-CA"/>
        </w:rPr>
        <w:t>Sénat du Canada</w:t>
      </w:r>
    </w:p>
    <w:p w14:paraId="62209AE9" w14:textId="77777777" w:rsidR="006F3540" w:rsidRPr="008A3351" w:rsidRDefault="006F3540" w:rsidP="006F3540">
      <w:pPr>
        <w:spacing w:before="120" w:after="120" w:line="240" w:lineRule="auto"/>
        <w:ind w:left="720"/>
        <w:rPr>
          <w:rFonts w:cstheme="minorHAnsi"/>
          <w:lang w:val="fr-CA"/>
        </w:rPr>
      </w:pPr>
      <w:r w:rsidRPr="008A3351">
        <w:rPr>
          <w:lang w:val="fr-CA"/>
        </w:rPr>
        <w:t>Ottawa (Ontario)</w:t>
      </w:r>
    </w:p>
    <w:bookmarkEnd w:id="3"/>
    <w:p w14:paraId="78957320" w14:textId="77777777" w:rsidR="00AC12BB" w:rsidRPr="008A3351" w:rsidRDefault="3D80B772" w:rsidP="217966B4">
      <w:pPr>
        <w:spacing w:before="0" w:line="240" w:lineRule="auto"/>
        <w:ind w:left="720"/>
        <w:rPr>
          <w:lang w:val="fr-CA"/>
        </w:rPr>
      </w:pPr>
      <w:r w:rsidRPr="008A3351">
        <w:rPr>
          <w:lang w:val="fr-CA"/>
        </w:rPr>
        <w:t>K1A 0A4</w:t>
      </w:r>
    </w:p>
    <w:bookmarkEnd w:id="4"/>
    <w:p w14:paraId="54812663" w14:textId="505262A0" w:rsidR="00C07B41" w:rsidRPr="008A3351" w:rsidRDefault="00EA6B9B" w:rsidP="006870ED">
      <w:pPr>
        <w:rPr>
          <w:highlight w:val="yellow"/>
          <w:lang w:val="fr-CA"/>
        </w:rPr>
      </w:pPr>
      <w:r w:rsidRPr="008A3351">
        <w:rPr>
          <w:lang w:val="fr-CA"/>
        </w:rPr>
        <w:t xml:space="preserve">Un </w:t>
      </w:r>
      <w:hyperlink r:id="rId16" w:anchor="umbraco_form_fff5ee102eef41e0bc5448ea953c61d0" w:history="1">
        <w:r w:rsidRPr="008A3351">
          <w:rPr>
            <w:rStyle w:val="Hyperlink"/>
            <w:lang w:val="fr-CA"/>
          </w:rPr>
          <w:t>formulaire électronique de rétroaction</w:t>
        </w:r>
      </w:hyperlink>
      <w:r w:rsidRPr="008A3351">
        <w:rPr>
          <w:lang w:val="fr-CA"/>
        </w:rPr>
        <w:t xml:space="preserve"> et de plus amples informations sur la manière de </w:t>
      </w:r>
      <w:hyperlink r:id="rId17" w:history="1">
        <w:r w:rsidRPr="008A3351">
          <w:rPr>
            <w:rStyle w:val="Hyperlink"/>
            <w:lang w:val="fr-CA"/>
          </w:rPr>
          <w:t>soumettre une rétroaction au Sénat</w:t>
        </w:r>
      </w:hyperlink>
      <w:r w:rsidRPr="008A3351">
        <w:rPr>
          <w:lang w:val="fr-CA"/>
        </w:rPr>
        <w:t xml:space="preserve"> sont offerts sur le site Web public.</w:t>
      </w:r>
    </w:p>
    <w:p w14:paraId="79AA746F" w14:textId="6A967226" w:rsidR="00C07B41" w:rsidRPr="008A3351" w:rsidRDefault="00C07B41" w:rsidP="006870ED">
      <w:pPr>
        <w:rPr>
          <w:lang w:val="fr-CA"/>
        </w:rPr>
      </w:pPr>
      <w:r w:rsidRPr="008A3351">
        <w:rPr>
          <w:lang w:val="fr-CA"/>
        </w:rPr>
        <w:lastRenderedPageBreak/>
        <w:t xml:space="preserve">Vous pouvez demander le plan, ce rapport d’étape, ainsi qu’une description de notre processus de rétroaction dans d’autres formats en communiquant avec </w:t>
      </w:r>
      <w:bookmarkStart w:id="5" w:name="_Hlk144130255"/>
      <w:r w:rsidRPr="008A3351">
        <w:rPr>
          <w:lang w:val="fr-CA"/>
        </w:rPr>
        <w:t>l’agent</w:t>
      </w:r>
      <w:r w:rsidR="006B7396" w:rsidRPr="008A3351">
        <w:rPr>
          <w:lang w:val="fr-CA"/>
        </w:rPr>
        <w:t>e</w:t>
      </w:r>
      <w:r w:rsidRPr="008A3351">
        <w:rPr>
          <w:lang w:val="fr-CA"/>
        </w:rPr>
        <w:t xml:space="preserve"> à l’accessibilité du Sénat à </w:t>
      </w:r>
      <w:hyperlink r:id="rId18" w:history="1">
        <w:r w:rsidRPr="008A3351">
          <w:rPr>
            <w:rStyle w:val="Hyperlink"/>
            <w:lang w:val="fr-CA"/>
          </w:rPr>
          <w:t>accessible@sen.parl.gc.ca</w:t>
        </w:r>
      </w:hyperlink>
      <w:r w:rsidRPr="008A3351">
        <w:rPr>
          <w:lang w:val="fr-CA"/>
        </w:rPr>
        <w:t xml:space="preserve"> ou au 1</w:t>
      </w:r>
      <w:r w:rsidR="00CC4EF8" w:rsidRPr="008A3351">
        <w:rPr>
          <w:lang w:val="fr-CA"/>
        </w:rPr>
        <w:t>-</w:t>
      </w:r>
      <w:r w:rsidRPr="008A3351">
        <w:rPr>
          <w:lang w:val="fr-CA"/>
        </w:rPr>
        <w:t>888</w:t>
      </w:r>
      <w:r w:rsidR="00CC4EF8" w:rsidRPr="008A3351">
        <w:rPr>
          <w:lang w:val="fr-CA"/>
        </w:rPr>
        <w:t>-</w:t>
      </w:r>
      <w:r w:rsidRPr="008A3351">
        <w:rPr>
          <w:lang w:val="fr-CA"/>
        </w:rPr>
        <w:t>810-9470.</w:t>
      </w:r>
      <w:bookmarkEnd w:id="5"/>
    </w:p>
    <w:p w14:paraId="1B41C9AD" w14:textId="671E96B9" w:rsidR="00C07B41" w:rsidRPr="008A3351" w:rsidRDefault="00C07B41" w:rsidP="003E0C26">
      <w:pPr>
        <w:rPr>
          <w:highlight w:val="yellow"/>
          <w:lang w:val="fr-CA"/>
        </w:rPr>
      </w:pPr>
      <w:r w:rsidRPr="008A3351">
        <w:rPr>
          <w:lang w:val="fr-CA"/>
        </w:rPr>
        <w:t xml:space="preserve">Une </w:t>
      </w:r>
      <w:hyperlink r:id="rId19" w:history="1">
        <w:r w:rsidRPr="008A3351">
          <w:rPr>
            <w:rStyle w:val="Hyperlink"/>
            <w:lang w:val="fr-CA"/>
          </w:rPr>
          <w:t>version électronique du plan d’accessibilité</w:t>
        </w:r>
      </w:hyperlink>
      <w:r w:rsidRPr="008A3351">
        <w:rPr>
          <w:lang w:val="fr-CA"/>
        </w:rPr>
        <w:t xml:space="preserve"> et une </w:t>
      </w:r>
      <w:hyperlink r:id="rId20" w:history="1">
        <w:r w:rsidRPr="001A453F">
          <w:rPr>
            <w:rStyle w:val="Hyperlink"/>
            <w:lang w:val="fr-CA"/>
          </w:rPr>
          <w:t>version électronique du présent rapport d’étape</w:t>
        </w:r>
      </w:hyperlink>
      <w:r w:rsidRPr="008A3351">
        <w:rPr>
          <w:lang w:val="fr-CA"/>
        </w:rPr>
        <w:t xml:space="preserve">, compatibles avec la technologie d’assistance, sont accessibles sur notre site Web. </w:t>
      </w:r>
    </w:p>
    <w:p w14:paraId="45E2B55C" w14:textId="6C6B2C5E" w:rsidR="00C07B41" w:rsidRPr="008A3351" w:rsidRDefault="00C07B41" w:rsidP="006870ED">
      <w:pPr>
        <w:rPr>
          <w:lang w:val="fr-CA"/>
        </w:rPr>
      </w:pPr>
      <w:r w:rsidRPr="008A3351">
        <w:rPr>
          <w:lang w:val="fr-CA"/>
        </w:rPr>
        <w:t xml:space="preserve">Vous pouvez également accéder à une </w:t>
      </w:r>
      <w:hyperlink r:id="rId21" w:history="1">
        <w:r w:rsidRPr="0021359A">
          <w:rPr>
            <w:rStyle w:val="Hyperlink"/>
            <w:lang w:val="fr-CA"/>
          </w:rPr>
          <w:t>version audio du plan d’accessibilité</w:t>
        </w:r>
      </w:hyperlink>
      <w:r w:rsidRPr="008A3351">
        <w:rPr>
          <w:lang w:val="fr-CA"/>
        </w:rPr>
        <w:t xml:space="preserve"> et à une </w:t>
      </w:r>
      <w:hyperlink r:id="rId22" w:history="1">
        <w:r w:rsidRPr="00AA6EA5">
          <w:rPr>
            <w:rStyle w:val="Hyperlink"/>
            <w:lang w:val="fr-CA"/>
          </w:rPr>
          <w:t>version audio de ce rapport d’étape</w:t>
        </w:r>
      </w:hyperlink>
      <w:r w:rsidRPr="008A3351">
        <w:rPr>
          <w:lang w:val="fr-CA"/>
        </w:rPr>
        <w:t xml:space="preserve"> (enregistrement d’une personne lisant le texte à voix haute).</w:t>
      </w:r>
    </w:p>
    <w:p w14:paraId="25545727" w14:textId="77777777" w:rsidR="00C07B41" w:rsidRPr="008A3351" w:rsidRDefault="00C07B41" w:rsidP="00EE7FAB">
      <w:pPr>
        <w:rPr>
          <w:lang w:val="fr-CA"/>
        </w:rPr>
      </w:pPr>
      <w:r w:rsidRPr="008A3351">
        <w:rPr>
          <w:lang w:val="fr-CA"/>
        </w:rPr>
        <w:t>Le Sénat vous enverra les documents demandés dans les formats suivants dans les 15 jours suivant la demande initiale :</w:t>
      </w:r>
    </w:p>
    <w:p w14:paraId="2FA026A5" w14:textId="77777777" w:rsidR="00C07B41" w:rsidRPr="008A3351" w:rsidRDefault="00C07B41" w:rsidP="007D3C3F">
      <w:pPr>
        <w:pStyle w:val="Bodybullets"/>
        <w:rPr>
          <w:lang w:val="fr-CA"/>
        </w:rPr>
      </w:pPr>
      <w:proofErr w:type="gramStart"/>
      <w:r w:rsidRPr="008A3351">
        <w:rPr>
          <w:lang w:val="fr-CA"/>
        </w:rPr>
        <w:t>imprimé</w:t>
      </w:r>
      <w:proofErr w:type="gramEnd"/>
      <w:r w:rsidRPr="008A3351">
        <w:rPr>
          <w:lang w:val="fr-CA"/>
        </w:rPr>
        <w:t xml:space="preserve"> </w:t>
      </w:r>
    </w:p>
    <w:p w14:paraId="2DF7599D" w14:textId="77777777" w:rsidR="00C07B41" w:rsidRPr="008A3351" w:rsidRDefault="00C07B41" w:rsidP="007D3C3F">
      <w:pPr>
        <w:pStyle w:val="Bodybullets"/>
        <w:rPr>
          <w:lang w:val="fr-CA"/>
        </w:rPr>
      </w:pPr>
      <w:proofErr w:type="gramStart"/>
      <w:r w:rsidRPr="008A3351">
        <w:rPr>
          <w:lang w:val="fr-CA"/>
        </w:rPr>
        <w:t>imprimé</w:t>
      </w:r>
      <w:proofErr w:type="gramEnd"/>
      <w:r w:rsidRPr="008A3351">
        <w:rPr>
          <w:lang w:val="fr-CA"/>
        </w:rPr>
        <w:t xml:space="preserve"> en gros caractères (taille de la police augmentée) </w:t>
      </w:r>
    </w:p>
    <w:p w14:paraId="329C418C" w14:textId="2B245CD8" w:rsidR="00A40112" w:rsidRPr="008A3351" w:rsidRDefault="1B89A2E1" w:rsidP="00A10601">
      <w:pPr>
        <w:rPr>
          <w:lang w:val="fr-CA"/>
        </w:rPr>
      </w:pPr>
      <w:r w:rsidRPr="008A3351">
        <w:rPr>
          <w:lang w:val="fr-CA"/>
        </w:rPr>
        <w:t xml:space="preserve">Le Sénat fournira aussi, dans les 45 jours suivant la réception d’une demande, certains documents en braille. Ce délai est fixé par le </w:t>
      </w:r>
      <w:r w:rsidRPr="008A3351">
        <w:rPr>
          <w:i/>
          <w:iCs/>
          <w:lang w:val="fr-CA"/>
        </w:rPr>
        <w:t>Règlement canadien sur l’accessibilité</w:t>
      </w:r>
      <w:r w:rsidRPr="008A3351">
        <w:rPr>
          <w:lang w:val="fr-CA"/>
        </w:rPr>
        <w:t xml:space="preserve"> et tient compte du temps nécessaire à la production et à la distribution de la version en braille. Si vous avez besoin de cette version de manière urgente, le Sénat fera tout en son pouvoir pour vous l’envoyer plus tôt.</w:t>
      </w:r>
    </w:p>
    <w:p w14:paraId="0213B230" w14:textId="52CBB8E3" w:rsidR="001A3172" w:rsidRPr="008A3351" w:rsidRDefault="68656446" w:rsidP="007D3C3F">
      <w:pPr>
        <w:pStyle w:val="Heading2"/>
        <w:rPr>
          <w:lang w:val="fr-CA"/>
        </w:rPr>
      </w:pPr>
      <w:bookmarkStart w:id="6" w:name="_Toc151466300"/>
      <w:r w:rsidRPr="008A3351">
        <w:rPr>
          <w:lang w:val="fr-CA"/>
        </w:rPr>
        <w:t>Termes et définitions</w:t>
      </w:r>
      <w:bookmarkEnd w:id="6"/>
    </w:p>
    <w:p w14:paraId="38B8ADA5" w14:textId="5036B729" w:rsidR="00800716" w:rsidRPr="008A3351" w:rsidRDefault="006553DA" w:rsidP="005007F2">
      <w:pPr>
        <w:rPr>
          <w:lang w:val="fr-CA"/>
        </w:rPr>
      </w:pPr>
      <w:r w:rsidRPr="008A3351">
        <w:rPr>
          <w:lang w:val="fr-CA"/>
        </w:rPr>
        <w:t>Les définitions suivantes s’appliquent au présent rapport :</w:t>
      </w:r>
    </w:p>
    <w:p w14:paraId="51F6DB60" w14:textId="77777777" w:rsidR="00813ABE" w:rsidRPr="008A3351" w:rsidRDefault="00813ABE" w:rsidP="00813ABE">
      <w:pPr>
        <w:pStyle w:val="Bodybullets"/>
        <w:rPr>
          <w:lang w:val="fr-CA"/>
        </w:rPr>
      </w:pPr>
      <w:r w:rsidRPr="008A3351">
        <w:rPr>
          <w:b/>
          <w:bCs/>
          <w:lang w:val="fr-CA"/>
        </w:rPr>
        <w:t>Accessibilité :</w:t>
      </w:r>
      <w:r w:rsidRPr="008A3351">
        <w:rPr>
          <w:lang w:val="fr-CA"/>
        </w:rPr>
        <w:t xml:space="preserve"> Méthode de conception des produits, d’appareils, de services, d’environnements, de technologies, de politiques et de règles afin de permettre à tous, y compris les personnes ayant divers handicaps, d’y avoir accès. </w:t>
      </w:r>
    </w:p>
    <w:p w14:paraId="4AAAFE69" w14:textId="77777777" w:rsidR="00813ABE" w:rsidRPr="008A3351" w:rsidRDefault="00813ABE" w:rsidP="00813ABE">
      <w:pPr>
        <w:pStyle w:val="Bodybullets"/>
        <w:rPr>
          <w:szCs w:val="26"/>
          <w:lang w:val="fr-CA"/>
        </w:rPr>
      </w:pPr>
      <w:r w:rsidRPr="008A3351">
        <w:rPr>
          <w:b/>
          <w:lang w:val="fr-CA"/>
        </w:rPr>
        <w:lastRenderedPageBreak/>
        <w:t xml:space="preserve">Capacitisme : </w:t>
      </w:r>
      <w:r w:rsidRPr="008A3351">
        <w:rPr>
          <w:lang w:val="fr-CA"/>
        </w:rPr>
        <w:t xml:space="preserve">Une vision ou une attitude qui traite les personnes en situation de handicap comme « anormales », « inférieures » ou « autres ». Le capacitisme peut être intentionnel (p. ex. harcèlement, moqueries, traitement d’une personne en situation de handicap comme si elle était incapable) ou involontaire (p. ex. production de documents qui paraissent adéquats, mais qui sont inaccessibles, l’organisation d’événements qui ne permettent pas aux </w:t>
      </w:r>
      <w:r w:rsidRPr="008A3351">
        <w:rPr>
          <w:spacing w:val="-2"/>
          <w:lang w:val="fr-CA"/>
        </w:rPr>
        <w:t>personnes en situation de handicap d’y participer confortablement). (Définition</w:t>
      </w:r>
      <w:r w:rsidRPr="008A3351">
        <w:rPr>
          <w:lang w:val="fr-CA"/>
        </w:rPr>
        <w:t xml:space="preserve"> </w:t>
      </w:r>
      <w:hyperlink r:id="rId23" w:anchor="h2.2" w:history="1">
        <w:r w:rsidRPr="008A3351">
          <w:rPr>
            <w:rStyle w:val="Hyperlink"/>
            <w:lang w:val="fr-CA"/>
          </w:rPr>
          <w:t>d’Emploi et développement social Canada</w:t>
        </w:r>
      </w:hyperlink>
      <w:r w:rsidRPr="008A3351">
        <w:rPr>
          <w:lang w:val="fr-CA"/>
        </w:rPr>
        <w:t>)</w:t>
      </w:r>
    </w:p>
    <w:p w14:paraId="2482F7B7" w14:textId="77777777" w:rsidR="00813ABE" w:rsidRPr="008A3351" w:rsidRDefault="00813ABE" w:rsidP="00813ABE">
      <w:pPr>
        <w:pStyle w:val="Bodybullets"/>
        <w:rPr>
          <w:b/>
          <w:bCs/>
          <w:szCs w:val="26"/>
          <w:lang w:val="fr-CA"/>
        </w:rPr>
      </w:pPr>
      <w:r w:rsidRPr="008A3351">
        <w:rPr>
          <w:b/>
          <w:lang w:val="fr-CA"/>
        </w:rPr>
        <w:t xml:space="preserve">Conception universelle : </w:t>
      </w:r>
      <w:r w:rsidRPr="008A3351">
        <w:rPr>
          <w:lang w:val="fr-CA"/>
        </w:rPr>
        <w:t xml:space="preserve">Une conception qui s’assure que les espaces ne présentent pas d’obstacles et qu’ils profitent à toutes les personnes, quels que soient leurs capacités, leurs besoins et leurs préférences culturelles. </w:t>
      </w:r>
    </w:p>
    <w:p w14:paraId="14C5FF96" w14:textId="77777777" w:rsidR="00813ABE" w:rsidRPr="008A3351" w:rsidRDefault="00813ABE" w:rsidP="00813ABE">
      <w:pPr>
        <w:pStyle w:val="Bodybullets"/>
        <w:rPr>
          <w:lang w:val="fr-CA"/>
        </w:rPr>
      </w:pPr>
      <w:r w:rsidRPr="008A3351">
        <w:rPr>
          <w:b/>
          <w:bCs/>
          <w:lang w:val="fr-CA"/>
        </w:rPr>
        <w:t>Handicap :</w:t>
      </w:r>
      <w:r w:rsidRPr="008A3351">
        <w:rPr>
          <w:lang w:val="fr-CA"/>
        </w:rPr>
        <w:t xml:space="preserve"> Déficience, notamment physique, intellectuelle, cognitive, mentale ou sensorielle, trouble d’apprentissage ou de la communication dont l’interaction avec un obstacle nuit à la participation pleine et égale d’une personne dans la société. Les handicaps peuvent être de nature permanente, temporaire ou épisodique, manifeste ou non, et peuvent changer ou fluctuer dans le temps. </w:t>
      </w:r>
    </w:p>
    <w:p w14:paraId="64752E86" w14:textId="5163ED6F" w:rsidR="006877EA" w:rsidRPr="008A3351" w:rsidRDefault="00F21670" w:rsidP="007D3C3F">
      <w:pPr>
        <w:pStyle w:val="Bodybullets"/>
        <w:rPr>
          <w:lang w:val="fr-CA"/>
        </w:rPr>
      </w:pPr>
      <w:r w:rsidRPr="008A3351">
        <w:rPr>
          <w:b/>
          <w:bCs/>
          <w:lang w:val="fr-CA"/>
        </w:rPr>
        <w:t>Obstacle :</w:t>
      </w:r>
      <w:r w:rsidRPr="008A3351">
        <w:rPr>
          <w:lang w:val="fr-CA"/>
        </w:rPr>
        <w:t xml:space="preserve"> Tout élément qui peut nuire à la participation pleine et égale des personnes </w:t>
      </w:r>
      <w:r w:rsidR="00F72C70" w:rsidRPr="008A3351">
        <w:rPr>
          <w:lang w:val="fr-CA"/>
        </w:rPr>
        <w:t xml:space="preserve">en situation de </w:t>
      </w:r>
      <w:r w:rsidRPr="008A3351">
        <w:rPr>
          <w:lang w:val="fr-CA"/>
        </w:rPr>
        <w:t xml:space="preserve">handicap. Les obstacles peuvent être de nature architecturale ou liés à la technologie, aux comportements, à l’information ou aux communications, ou peuvent être le résultat d’une politique ou d’une procédure. </w:t>
      </w:r>
    </w:p>
    <w:p w14:paraId="27966DD6" w14:textId="77777777" w:rsidR="00813ABE" w:rsidRPr="008A3351" w:rsidRDefault="00813ABE" w:rsidP="00813ABE">
      <w:pPr>
        <w:pStyle w:val="Bodybullets"/>
        <w:rPr>
          <w:b/>
          <w:bCs/>
          <w:szCs w:val="26"/>
          <w:lang w:val="fr-CA"/>
        </w:rPr>
      </w:pPr>
      <w:r w:rsidRPr="008A3351">
        <w:rPr>
          <w:b/>
          <w:lang w:val="fr-CA"/>
        </w:rPr>
        <w:t>Remédier </w:t>
      </w:r>
      <w:r w:rsidRPr="008A3351">
        <w:rPr>
          <w:lang w:val="fr-CA"/>
        </w:rPr>
        <w:t xml:space="preserve">: Régler ou corriger un problème. Dans ce contexte, la remédiation signifie changer les choses pour les rendre plus accessibles. </w:t>
      </w:r>
    </w:p>
    <w:p w14:paraId="5BDBEDA0" w14:textId="26445C52" w:rsidR="00232C23" w:rsidRPr="008A3351" w:rsidRDefault="00232C23" w:rsidP="00813ABE">
      <w:pPr>
        <w:pStyle w:val="Bodybullets"/>
        <w:rPr>
          <w:b/>
          <w:bCs/>
          <w:szCs w:val="26"/>
          <w:lang w:val="fr-CA"/>
        </w:rPr>
      </w:pPr>
      <w:r w:rsidRPr="008A3351">
        <w:rPr>
          <w:b/>
          <w:lang w:val="fr-CA"/>
        </w:rPr>
        <w:t xml:space="preserve">Témoin devant un comité : </w:t>
      </w:r>
      <w:r w:rsidRPr="008A3351">
        <w:rPr>
          <w:lang w:val="fr-CA"/>
        </w:rPr>
        <w:t>Une personne qui témoigne lors d’une audience.</w:t>
      </w:r>
    </w:p>
    <w:p w14:paraId="70CA107F" w14:textId="7A5F8D81" w:rsidR="004D33AF" w:rsidRPr="008A3351" w:rsidRDefault="006A00C7" w:rsidP="006A00C7">
      <w:pPr>
        <w:pStyle w:val="Bodybullets"/>
        <w:numPr>
          <w:ilvl w:val="0"/>
          <w:numId w:val="0"/>
        </w:numPr>
        <w:ind w:left="720"/>
        <w:rPr>
          <w:szCs w:val="26"/>
          <w:lang w:val="fr-CA"/>
        </w:rPr>
      </w:pPr>
      <w:r w:rsidRPr="008A3351">
        <w:rPr>
          <w:b/>
          <w:lang w:val="fr-CA"/>
        </w:rPr>
        <w:t>Remarque sur la terminologie relative aux handicaps :</w:t>
      </w:r>
      <w:r w:rsidRPr="008A3351">
        <w:rPr>
          <w:lang w:val="fr-CA"/>
        </w:rPr>
        <w:t xml:space="preserve"> Le Sénat reconna</w:t>
      </w:r>
      <w:r w:rsidR="00936DD8" w:rsidRPr="008A3351">
        <w:rPr>
          <w:lang w:val="fr-CA"/>
        </w:rPr>
        <w:t>i</w:t>
      </w:r>
      <w:r w:rsidRPr="008A3351">
        <w:rPr>
          <w:lang w:val="fr-CA"/>
        </w:rPr>
        <w:t xml:space="preserve">t qu’il </w:t>
      </w:r>
      <w:r w:rsidRPr="008A3351">
        <w:rPr>
          <w:spacing w:val="-2"/>
          <w:lang w:val="fr-CA"/>
        </w:rPr>
        <w:t>existe des préférences individuelles en matière d’identification. Le présent rapport</w:t>
      </w:r>
      <w:r w:rsidRPr="008A3351">
        <w:rPr>
          <w:lang w:val="fr-CA"/>
        </w:rPr>
        <w:t xml:space="preserve"> utilise un langage centré sur la personne (p. ex. </w:t>
      </w:r>
      <w:bookmarkStart w:id="7" w:name="_Hlk150860711"/>
      <w:r w:rsidRPr="008A3351">
        <w:rPr>
          <w:lang w:val="fr-CA"/>
        </w:rPr>
        <w:t xml:space="preserve">une personne </w:t>
      </w:r>
      <w:r w:rsidR="00202FDF" w:rsidRPr="008A3351">
        <w:rPr>
          <w:lang w:val="fr-CA"/>
        </w:rPr>
        <w:t>ayant une</w:t>
      </w:r>
      <w:r w:rsidRPr="008A3351">
        <w:rPr>
          <w:lang w:val="fr-CA"/>
        </w:rPr>
        <w:t xml:space="preserve"> lésion de </w:t>
      </w:r>
      <w:r w:rsidRPr="008A3351">
        <w:rPr>
          <w:lang w:val="fr-CA"/>
        </w:rPr>
        <w:lastRenderedPageBreak/>
        <w:t>la moelle épinière</w:t>
      </w:r>
      <w:bookmarkEnd w:id="7"/>
      <w:r w:rsidRPr="008A3351">
        <w:rPr>
          <w:lang w:val="fr-CA"/>
        </w:rPr>
        <w:t>), mais il reconna</w:t>
      </w:r>
      <w:r w:rsidR="00DD015F" w:rsidRPr="008A3351">
        <w:rPr>
          <w:lang w:val="fr-CA"/>
        </w:rPr>
        <w:t>i</w:t>
      </w:r>
      <w:r w:rsidRPr="008A3351">
        <w:rPr>
          <w:lang w:val="fr-CA"/>
        </w:rPr>
        <w:t xml:space="preserve">t que de nombreuses personnes peuvent utiliser un langage centré sur l’identité (p. ex. une personne autiste) ou d’autres descriptions. Dans les interactions individuelles, le Sénat s’efforce de demander aux personnes comment elles s’identifient. </w:t>
      </w:r>
    </w:p>
    <w:p w14:paraId="26EE8275" w14:textId="619A7BA0" w:rsidR="0007218B" w:rsidRPr="008A3351" w:rsidRDefault="00256ADE" w:rsidP="007D3C3F">
      <w:pPr>
        <w:pStyle w:val="Heading2"/>
        <w:rPr>
          <w:lang w:val="fr-CA"/>
        </w:rPr>
      </w:pPr>
      <w:bookmarkStart w:id="8" w:name="_Toc149249598"/>
      <w:bookmarkStart w:id="9" w:name="_Toc149249599"/>
      <w:bookmarkStart w:id="10" w:name="_Toc149249600"/>
      <w:bookmarkStart w:id="11" w:name="_Toc149249601"/>
      <w:bookmarkStart w:id="12" w:name="_Toc151466301"/>
      <w:bookmarkEnd w:id="8"/>
      <w:bookmarkEnd w:id="9"/>
      <w:bookmarkEnd w:id="10"/>
      <w:bookmarkEnd w:id="11"/>
      <w:r w:rsidRPr="008A3351">
        <w:rPr>
          <w:lang w:val="fr-CA"/>
        </w:rPr>
        <w:t>Sommaire</w:t>
      </w:r>
      <w:bookmarkEnd w:id="12"/>
      <w:r w:rsidRPr="008A3351">
        <w:rPr>
          <w:lang w:val="fr-CA"/>
        </w:rPr>
        <w:t xml:space="preserve"> </w:t>
      </w:r>
    </w:p>
    <w:p w14:paraId="64899C55" w14:textId="361177C6" w:rsidR="007C209B" w:rsidRPr="008A3351" w:rsidRDefault="007C209B" w:rsidP="00043DEB">
      <w:pPr>
        <w:rPr>
          <w:lang w:val="fr-CA"/>
        </w:rPr>
      </w:pPr>
      <w:r w:rsidRPr="008A3351">
        <w:rPr>
          <w:lang w:val="fr-CA"/>
        </w:rPr>
        <w:t xml:space="preserve">Le Plan d’accessibilité 2023-2025 du Sénat comprend des objectifs assortis d’échéances pour chaque année dans chaque article important de la </w:t>
      </w:r>
      <w:hyperlink r:id="rId24" w:history="1">
        <w:r w:rsidRPr="008A3351">
          <w:rPr>
            <w:rStyle w:val="Hyperlink"/>
            <w:i/>
            <w:lang w:val="fr-CA"/>
          </w:rPr>
          <w:t>Loi canadienne sur l’accessibilité</w:t>
        </w:r>
      </w:hyperlink>
      <w:r w:rsidRPr="008A3351">
        <w:rPr>
          <w:i/>
          <w:lang w:val="fr-CA"/>
        </w:rPr>
        <w:t xml:space="preserve"> </w:t>
      </w:r>
      <w:r w:rsidRPr="008A3351">
        <w:rPr>
          <w:lang w:val="fr-CA"/>
        </w:rPr>
        <w:t>(LCA). Le présent rapport d’étape couvre les objectifs qui doivent être achevés en</w:t>
      </w:r>
      <w:r w:rsidR="00CC4EF8" w:rsidRPr="008A3351">
        <w:rPr>
          <w:lang w:val="fr-CA"/>
        </w:rPr>
        <w:t> </w:t>
      </w:r>
      <w:r w:rsidRPr="008A3351">
        <w:rPr>
          <w:lang w:val="fr-CA"/>
        </w:rPr>
        <w:t>2023 ainsi que les objectifs continus qui s’étendent sur toute la durée du plan. Bien que le rapport présente un certain contexte pour les objectifs, un état détaillé de l’accessibilité pour chaque catégorie est présenté dans le plan d’accessibilité. Les objectifs prévus pour 2024 et 2025 feront l’objet de rapports ultérieurs : la liste de ces objectifs figure à l’annexe A.</w:t>
      </w:r>
    </w:p>
    <w:p w14:paraId="74B0D9E5" w14:textId="66D00692" w:rsidR="007C209B" w:rsidRPr="008A3351" w:rsidRDefault="00016C58" w:rsidP="00043DEB">
      <w:pPr>
        <w:rPr>
          <w:lang w:val="fr-CA"/>
        </w:rPr>
      </w:pPr>
      <w:r w:rsidRPr="008A3351">
        <w:rPr>
          <w:lang w:val="fr-CA"/>
        </w:rPr>
        <w:t>En</w:t>
      </w:r>
      <w:r w:rsidR="00131381" w:rsidRPr="008A3351">
        <w:rPr>
          <w:lang w:val="fr-CA"/>
        </w:rPr>
        <w:t> </w:t>
      </w:r>
      <w:r w:rsidRPr="008A3351">
        <w:rPr>
          <w:lang w:val="fr-CA"/>
        </w:rPr>
        <w:t>2023, le Sénat a atteint 11 de ses 12 objectifs et a entamé la réalisation des trois</w:t>
      </w:r>
      <w:r w:rsidR="00D016D7" w:rsidRPr="008A3351">
        <w:rPr>
          <w:lang w:val="fr-CA"/>
        </w:rPr>
        <w:t xml:space="preserve"> </w:t>
      </w:r>
      <w:r w:rsidRPr="008A3351">
        <w:rPr>
          <w:lang w:val="fr-CA"/>
        </w:rPr>
        <w:t xml:space="preserve">objectifs en cours. Le rapport résume la manière dont chaque objectif a été atteint et les prochaines étapes (le cas échéant). Il met également à jour l’état et le calendrier de l’objectif retardé. </w:t>
      </w:r>
    </w:p>
    <w:p w14:paraId="40D4F95A" w14:textId="02410EB4" w:rsidR="00016C58" w:rsidRPr="008A3351" w:rsidRDefault="00D96B5A" w:rsidP="00043DEB">
      <w:pPr>
        <w:rPr>
          <w:lang w:val="fr-CA"/>
        </w:rPr>
      </w:pPr>
      <w:r w:rsidRPr="008A3351">
        <w:rPr>
          <w:lang w:val="fr-CA"/>
        </w:rPr>
        <w:t>Dans le cadre de la préparation de ce rapport, le Sénat a interrogé les sénateurs et les employés du Sénat, ainsi que les participants aux activités du Sénat qui se sont déclarés en situation de handicap. Le Sénat a également rencontré des groupes représentant les personnes en situation de handicap. Les consultations ont permis de discuter des efforts continus du Sénat pour améliorer l’accessibilité, de couvrir les domaines dans lesquels le Sénat doit poursuivre ses efforts et de déterminer les domaines à améliorer à l’avenir.</w:t>
      </w:r>
    </w:p>
    <w:p w14:paraId="456EBFD8" w14:textId="5598F491" w:rsidR="00016C58" w:rsidRPr="008A3351" w:rsidRDefault="00C27258" w:rsidP="00043DEB">
      <w:pPr>
        <w:rPr>
          <w:lang w:val="fr-CA"/>
        </w:rPr>
      </w:pPr>
      <w:r w:rsidRPr="008A3351">
        <w:rPr>
          <w:lang w:val="fr-CA"/>
        </w:rPr>
        <w:t>Le Sénat a également reçu des rétroactions à dix</w:t>
      </w:r>
      <w:r w:rsidR="00131381" w:rsidRPr="008A3351">
        <w:rPr>
          <w:lang w:val="fr-CA"/>
        </w:rPr>
        <w:t xml:space="preserve"> </w:t>
      </w:r>
      <w:r w:rsidRPr="008A3351">
        <w:rPr>
          <w:lang w:val="fr-CA"/>
        </w:rPr>
        <w:t xml:space="preserve">reprises de la part de sénateurs, de </w:t>
      </w:r>
      <w:r w:rsidRPr="008A3351">
        <w:rPr>
          <w:spacing w:val="-2"/>
          <w:lang w:val="fr-CA"/>
        </w:rPr>
        <w:t>membres du personnel du Sénat et de membres du public. Les rétroactions comprenaient</w:t>
      </w:r>
      <w:r w:rsidRPr="008A3351">
        <w:rPr>
          <w:lang w:val="fr-CA"/>
        </w:rPr>
        <w:t xml:space="preserve"> des appréciations pour certains efforts d’accessibilité, la détermination d’obstacles et des commentaires sur la mise en œuvre du plan.</w:t>
      </w:r>
    </w:p>
    <w:p w14:paraId="13DECCD6" w14:textId="36C515B4" w:rsidR="003A01D2" w:rsidRPr="008A3351" w:rsidRDefault="76907139" w:rsidP="007D3C3F">
      <w:pPr>
        <w:pStyle w:val="Heading1"/>
        <w:rPr>
          <w:i/>
          <w:iCs/>
          <w:lang w:val="fr-CA"/>
        </w:rPr>
      </w:pPr>
      <w:bookmarkStart w:id="13" w:name="_Toc151466302"/>
      <w:r w:rsidRPr="008A3351">
        <w:rPr>
          <w:lang w:val="fr-CA"/>
        </w:rPr>
        <w:lastRenderedPageBreak/>
        <w:t xml:space="preserve">Domaines décrits à l’article 5 de la </w:t>
      </w:r>
      <w:r w:rsidRPr="008A3351">
        <w:rPr>
          <w:i/>
          <w:iCs/>
          <w:lang w:val="fr-CA"/>
        </w:rPr>
        <w:t>Loi canadienne sur l’accessibilité</w:t>
      </w:r>
      <w:bookmarkEnd w:id="13"/>
    </w:p>
    <w:p w14:paraId="6564DB13" w14:textId="732D8CC8" w:rsidR="003A01D2" w:rsidRPr="008A3351" w:rsidRDefault="76907139" w:rsidP="007D3C3F">
      <w:pPr>
        <w:pStyle w:val="Heading2"/>
        <w:rPr>
          <w:lang w:val="fr-CA"/>
        </w:rPr>
      </w:pPr>
      <w:bookmarkStart w:id="14" w:name="_Toc149249604"/>
      <w:bookmarkStart w:id="15" w:name="_Toc149249605"/>
      <w:bookmarkStart w:id="16" w:name="_Toc151466303"/>
      <w:bookmarkEnd w:id="14"/>
      <w:bookmarkEnd w:id="15"/>
      <w:r w:rsidRPr="008A3351">
        <w:rPr>
          <w:lang w:val="fr-CA"/>
        </w:rPr>
        <w:t>Environnement bâti</w:t>
      </w:r>
      <w:bookmarkEnd w:id="16"/>
    </w:p>
    <w:p w14:paraId="52F104F5" w14:textId="41E5FAA1" w:rsidR="002A2967" w:rsidRPr="008A3351" w:rsidRDefault="002A2967" w:rsidP="00A10601">
      <w:pPr>
        <w:pStyle w:val="Heading3"/>
        <w:numPr>
          <w:ilvl w:val="0"/>
          <w:numId w:val="0"/>
        </w:numPr>
        <w:rPr>
          <w:lang w:val="fr-CA"/>
        </w:rPr>
      </w:pPr>
      <w:bookmarkStart w:id="17" w:name="_Toc151466304"/>
      <w:r w:rsidRPr="008A3351">
        <w:rPr>
          <w:lang w:val="fr-CA"/>
        </w:rPr>
        <w:t>Aperçu</w:t>
      </w:r>
      <w:bookmarkEnd w:id="17"/>
    </w:p>
    <w:p w14:paraId="0AAA4D17" w14:textId="60A431AD" w:rsidR="002A2967" w:rsidRPr="008A3351" w:rsidRDefault="002A2967" w:rsidP="002A2967">
      <w:pPr>
        <w:rPr>
          <w:rFonts w:eastAsia="Arial Nova Light" w:cs="Arial Nova Light"/>
          <w:lang w:val="fr-CA"/>
        </w:rPr>
      </w:pPr>
      <w:r w:rsidRPr="008A3351">
        <w:rPr>
          <w:rStyle w:val="ui-provider"/>
          <w:lang w:val="fr-CA"/>
        </w:rPr>
        <w:t xml:space="preserve">Services publics et Approvisionnement Canada (SPAC) est propriétaire ou fournisseur des bâtiments et des bureaux du Sénat. Le Sénat travaille en étroite collaboration avec SPAC pour veiller à ce que son environnement bâti soit accessible à tous. Dans le cadre de son plan d’accessibilité universelle, SPAC examine les conditions existantes dans les bâtiments occupés par le Sénat en fonction de ses pratiques exemplaires en matière d’accessibilité universelle. Le Sénat s’est engagé à </w:t>
      </w:r>
      <w:r w:rsidRPr="008A3351">
        <w:rPr>
          <w:lang w:val="fr-CA"/>
        </w:rPr>
        <w:t>examiner ces pratiques et à apporter sa contribution pour qu’elles restent pertinentes.</w:t>
      </w:r>
    </w:p>
    <w:p w14:paraId="425C17B7" w14:textId="11FA3CDD" w:rsidR="002A2967" w:rsidRPr="008A3351" w:rsidRDefault="002A2967" w:rsidP="002A2967">
      <w:pPr>
        <w:rPr>
          <w:spacing w:val="-3"/>
          <w:lang w:val="fr-CA"/>
        </w:rPr>
      </w:pPr>
      <w:r w:rsidRPr="008A3351">
        <w:rPr>
          <w:lang w:val="fr-CA"/>
        </w:rPr>
        <w:t>Alors que SPAC doit veiller à ce que les lieux essentiels des bâtiments du Sénat (p. ex. les entrées, les ascenseurs, les toilettes) respectent les codes, les normes et les pratiques exemplaires les plus récents, le Sénat doit, quant à lui, déterminer les exigences de ses propres espaces intérieurs (p. ex. les bureaux, les salles de réunion, les cuisinettes).</w:t>
      </w:r>
    </w:p>
    <w:p w14:paraId="4649BC06" w14:textId="77777777" w:rsidR="00E03B64" w:rsidRPr="008A3351" w:rsidRDefault="00017F5B" w:rsidP="00E03B64">
      <w:pPr>
        <w:rPr>
          <w:rFonts w:eastAsiaTheme="majorEastAsia" w:cstheme="majorBidi"/>
          <w:b/>
          <w:sz w:val="24"/>
          <w:lang w:val="fr-CA"/>
        </w:rPr>
      </w:pPr>
      <w:r w:rsidRPr="008A3351">
        <w:rPr>
          <w:lang w:val="fr-CA"/>
        </w:rPr>
        <w:t xml:space="preserve">Les hôtes ou les parrains des visiteurs remplissent et soumettent actuellement un « Formulaire d’accès à l’enceinte du Sénat » avant l’arrivée de leurs invités dans tout bâtiment occupé par le Sénat. </w:t>
      </w:r>
    </w:p>
    <w:p w14:paraId="6FAC6892" w14:textId="7CCDE141" w:rsidR="008724B1" w:rsidRPr="008A3351" w:rsidRDefault="008724B1" w:rsidP="00E03B64">
      <w:pPr>
        <w:pStyle w:val="Heading3"/>
        <w:rPr>
          <w:sz w:val="24"/>
          <w:szCs w:val="24"/>
          <w:lang w:val="fr-CA"/>
        </w:rPr>
      </w:pPr>
      <w:bookmarkStart w:id="18" w:name="_Toc151466305"/>
      <w:r w:rsidRPr="008A3351">
        <w:rPr>
          <w:lang w:val="fr-CA"/>
        </w:rPr>
        <w:t>Objectifs en matière d’accessibilité atteints ou en cours</w:t>
      </w:r>
      <w:bookmarkEnd w:id="18"/>
      <w:r w:rsidRPr="008A3351">
        <w:rPr>
          <w:lang w:val="fr-CA"/>
        </w:rPr>
        <w:t xml:space="preserve">  </w:t>
      </w:r>
    </w:p>
    <w:p w14:paraId="34B86D04" w14:textId="39384537" w:rsidR="00E50629" w:rsidRPr="008A3351" w:rsidRDefault="76907139" w:rsidP="00A10601">
      <w:pPr>
        <w:pStyle w:val="Bodynumberedlist"/>
        <w:rPr>
          <w:rStyle w:val="ui-provider"/>
          <w:lang w:val="fr-CA"/>
        </w:rPr>
      </w:pPr>
      <w:r w:rsidRPr="008A3351">
        <w:rPr>
          <w:lang w:val="fr-CA"/>
        </w:rPr>
        <w:t xml:space="preserve">Au cours des prochaines années, SPAC et le Sénat continueront de procéder à des </w:t>
      </w:r>
      <w:r w:rsidRPr="008A3351">
        <w:rPr>
          <w:spacing w:val="-2"/>
          <w:lang w:val="fr-CA"/>
        </w:rPr>
        <w:t>vérifications de l’environnement bâti. Au fur et à mesure que des obstacles seront</w:t>
      </w:r>
      <w:r w:rsidRPr="008A3351">
        <w:rPr>
          <w:lang w:val="fr-CA"/>
        </w:rPr>
        <w:t xml:space="preserve"> découverts, le Sénat collaborera avec SPAC pour les classer par ordre de priorité et prendre les mesures nécessaires pour les corriger ou les éliminer.</w:t>
      </w:r>
    </w:p>
    <w:p w14:paraId="1BA462DA" w14:textId="61C91D30" w:rsidR="00E50629" w:rsidRPr="008A3351" w:rsidRDefault="6A5D5D5A" w:rsidP="00F91640">
      <w:pPr>
        <w:pStyle w:val="Bodynumberedlist"/>
        <w:numPr>
          <w:ilvl w:val="2"/>
          <w:numId w:val="20"/>
        </w:numPr>
        <w:rPr>
          <w:lang w:val="fr-CA"/>
        </w:rPr>
      </w:pPr>
      <w:r w:rsidRPr="008A3351">
        <w:rPr>
          <w:b/>
          <w:spacing w:val="-2"/>
          <w:lang w:val="fr-CA"/>
        </w:rPr>
        <w:t xml:space="preserve">État : en cours. </w:t>
      </w:r>
      <w:r w:rsidRPr="008A3351">
        <w:rPr>
          <w:spacing w:val="-2"/>
          <w:lang w:val="fr-CA"/>
        </w:rPr>
        <w:t>Des vérifications de l’accessibilité ont été réalisées pour l’édifice</w:t>
      </w:r>
      <w:r w:rsidRPr="008A3351">
        <w:rPr>
          <w:lang w:val="fr-CA"/>
        </w:rPr>
        <w:t xml:space="preserve"> de l’Est (octobre 2020), l’édifice du Sénat du Canada (ESC) (juillet 2021), </w:t>
      </w:r>
      <w:r w:rsidRPr="008A3351">
        <w:rPr>
          <w:lang w:val="fr-CA"/>
        </w:rPr>
        <w:lastRenderedPageBreak/>
        <w:t>l’édifice du 40, rue Elgin (septembre 2022), l’édifice du 1, rue Wellington (janvier 2023) et l’édifice du 56, rue Sparks (octobre 2023).</w:t>
      </w:r>
    </w:p>
    <w:p w14:paraId="075D33CF" w14:textId="2A801E9C" w:rsidR="217966B4" w:rsidRPr="008A3351" w:rsidRDefault="6A5D5D5A" w:rsidP="00F91640">
      <w:pPr>
        <w:pStyle w:val="Bodynumberedlist"/>
        <w:numPr>
          <w:ilvl w:val="2"/>
          <w:numId w:val="20"/>
        </w:numPr>
        <w:rPr>
          <w:lang w:val="fr-CA"/>
        </w:rPr>
      </w:pPr>
      <w:r w:rsidRPr="008A3351">
        <w:rPr>
          <w:b/>
          <w:lang w:val="fr-CA"/>
        </w:rPr>
        <w:t>Prochaines étapes :</w:t>
      </w:r>
      <w:r w:rsidRPr="008A3351">
        <w:rPr>
          <w:lang w:val="fr-CA"/>
        </w:rPr>
        <w:t xml:space="preserve"> Le Sénat travaille avec SPAC pour donner la priorité aux projets d’élimination d’obstacles rapides et </w:t>
      </w:r>
      <w:r w:rsidR="005D7451" w:rsidRPr="008A3351">
        <w:rPr>
          <w:lang w:val="fr-CA"/>
        </w:rPr>
        <w:t xml:space="preserve">pour </w:t>
      </w:r>
      <w:r w:rsidRPr="008A3351">
        <w:rPr>
          <w:lang w:val="fr-CA"/>
        </w:rPr>
        <w:t>planifier des projets plus importants afin d’améliorer l’accessibilité selon les résultats des vérifications. Parmi les projets d’élimination d’obstacles rapides déterminés, 28 ont été achevés, 8 sont en cours et 44 sont en cours de planification.</w:t>
      </w:r>
    </w:p>
    <w:p w14:paraId="610483DB" w14:textId="4BDBC4E8" w:rsidR="00E50629" w:rsidRPr="008A3351" w:rsidRDefault="003A01D2" w:rsidP="00A10601">
      <w:pPr>
        <w:pStyle w:val="Bodynumberedlist"/>
        <w:rPr>
          <w:rFonts w:eastAsia="Arial Nova Light" w:cs="Arial Nova Light"/>
          <w:lang w:val="fr-CA"/>
        </w:rPr>
      </w:pPr>
      <w:r w:rsidRPr="008A3351">
        <w:rPr>
          <w:lang w:val="fr-CA"/>
        </w:rPr>
        <w:t xml:space="preserve">Au cours des prochaines années, le Sénat continuera de travailler avec SPAC pour améliorer les pratiques exemplaires et les lignes directrices en matière d’accessibilité afin de s’assurer que les commentaires et les leçons apprises sont intégrés de façon systématique dans les plans futurs et particulièrement dans la rénovation de l’édifice du Centre, de l’édifice de l’Est et </w:t>
      </w:r>
      <w:r w:rsidR="00A1613A" w:rsidRPr="008A3351">
        <w:rPr>
          <w:lang w:val="fr-CA"/>
        </w:rPr>
        <w:t>le Complexe de bureaux du Sénat (la partie est du projet de réhabilitation de l’îlot 2)</w:t>
      </w:r>
      <w:r w:rsidRPr="008A3351">
        <w:rPr>
          <w:lang w:val="fr-CA"/>
        </w:rPr>
        <w:t>.</w:t>
      </w:r>
    </w:p>
    <w:p w14:paraId="219458DA" w14:textId="6A36CD48" w:rsidR="008724B1" w:rsidRPr="008A3351" w:rsidRDefault="6A5D5D5A" w:rsidP="00F91640">
      <w:pPr>
        <w:pStyle w:val="Bodynumberedlist"/>
        <w:numPr>
          <w:ilvl w:val="1"/>
          <w:numId w:val="8"/>
        </w:numPr>
        <w:rPr>
          <w:rFonts w:eastAsia="Arial Nova Light" w:cs="Arial Nova Light"/>
          <w:lang w:val="fr-CA"/>
        </w:rPr>
      </w:pPr>
      <w:r w:rsidRPr="008A3351">
        <w:rPr>
          <w:b/>
          <w:lang w:val="fr-CA"/>
        </w:rPr>
        <w:t xml:space="preserve">État : en cours. </w:t>
      </w:r>
      <w:r w:rsidRPr="008A3351">
        <w:rPr>
          <w:lang w:val="fr-CA"/>
        </w:rPr>
        <w:t xml:space="preserve">Le Sénat continue de contribuer aux initiatives menées par SPAC en participant à des groupes de travail sur l’accessibilité et à des comités consultatifs. La participation à ces groupes de travail permet au Sénat de contribuer au processus d’amélioration continue des pratiques exemplaires en matière d’accessibilité universelle de SPAC. </w:t>
      </w:r>
    </w:p>
    <w:p w14:paraId="14244F87" w14:textId="4127DB34" w:rsidR="008724B1" w:rsidRPr="008A3351" w:rsidRDefault="6A5D5D5A" w:rsidP="00F91640">
      <w:pPr>
        <w:pStyle w:val="Bodynumberedlist"/>
        <w:numPr>
          <w:ilvl w:val="1"/>
          <w:numId w:val="8"/>
        </w:numPr>
        <w:rPr>
          <w:rFonts w:eastAsia="Arial Nova Light" w:cs="Arial Nova Light"/>
          <w:lang w:val="fr-CA"/>
        </w:rPr>
      </w:pPr>
      <w:r w:rsidRPr="008A3351">
        <w:rPr>
          <w:b/>
          <w:spacing w:val="-2"/>
          <w:lang w:val="fr-CA"/>
        </w:rPr>
        <w:t xml:space="preserve">Prochaines étapes : </w:t>
      </w:r>
      <w:r w:rsidRPr="008A3351">
        <w:rPr>
          <w:spacing w:val="-2"/>
          <w:lang w:val="fr-CA"/>
        </w:rPr>
        <w:t>Le Sénat continuera de s’assurer que tous les nouveaux</w:t>
      </w:r>
      <w:r w:rsidRPr="008A3351">
        <w:rPr>
          <w:lang w:val="fr-CA"/>
        </w:rPr>
        <w:t xml:space="preserve"> projets respectent les pratiques exemplaires et les lignes directrices en matière d’accessibilité.</w:t>
      </w:r>
    </w:p>
    <w:p w14:paraId="28A5E19E" w14:textId="1E5A0445" w:rsidR="003A01D2" w:rsidRPr="008A3351" w:rsidRDefault="003A01D2" w:rsidP="007D3C3F">
      <w:pPr>
        <w:pStyle w:val="Bodynumberedlist"/>
        <w:rPr>
          <w:lang w:val="fr-CA"/>
        </w:rPr>
      </w:pPr>
      <w:r w:rsidRPr="008A3351">
        <w:rPr>
          <w:lang w:val="fr-CA"/>
        </w:rPr>
        <w:t>D’ici fin 2023, le Sénat travaillera avec SPAC et ses partenaires parlementaires pour mettre à jour les normes de signalisation existantes afin d’inclure les exigences en matière d’accessibilité et les pratiques exemplaires applicables. Le Sénat travaillera également avec SPAC pour planifier des mises à jour de la signalisation existante en fonction des normes de signalisation approuvées.</w:t>
      </w:r>
    </w:p>
    <w:p w14:paraId="5E4879B3" w14:textId="44A709AF" w:rsidR="008724B1" w:rsidRPr="008A3351" w:rsidRDefault="6A5D5D5A" w:rsidP="00F91640">
      <w:pPr>
        <w:pStyle w:val="Bodynumberedlist"/>
        <w:numPr>
          <w:ilvl w:val="1"/>
          <w:numId w:val="8"/>
        </w:numPr>
        <w:rPr>
          <w:lang w:val="fr-CA"/>
        </w:rPr>
      </w:pPr>
      <w:r w:rsidRPr="008A3351">
        <w:rPr>
          <w:b/>
          <w:lang w:val="fr-CA"/>
        </w:rPr>
        <w:t xml:space="preserve">État : en attente. </w:t>
      </w:r>
      <w:r w:rsidRPr="008A3351">
        <w:rPr>
          <w:lang w:val="fr-CA"/>
        </w:rPr>
        <w:t xml:space="preserve">SPAC a décidé de retarder l’initiative jusqu’à ce que Normes d’accessibilité Canada (NAC) publie ses normes nationales sur </w:t>
      </w:r>
      <w:r w:rsidRPr="008A3351">
        <w:rPr>
          <w:lang w:val="fr-CA"/>
        </w:rPr>
        <w:lastRenderedPageBreak/>
        <w:t>l’orientation et la signalisation. La mise à jour des normes de SPAC ne pourra pas être achevée avant que NAC ne publie sa norme (attendue pour fin 2026).</w:t>
      </w:r>
    </w:p>
    <w:p w14:paraId="7F63F6D2" w14:textId="1EB0ACA9" w:rsidR="008724B1" w:rsidRPr="008A3351" w:rsidRDefault="6A5D5D5A" w:rsidP="00F91640">
      <w:pPr>
        <w:pStyle w:val="Bodynumberedlist"/>
        <w:numPr>
          <w:ilvl w:val="1"/>
          <w:numId w:val="8"/>
        </w:numPr>
        <w:rPr>
          <w:lang w:val="fr-CA"/>
        </w:rPr>
      </w:pPr>
      <w:r w:rsidRPr="008A3351">
        <w:rPr>
          <w:b/>
          <w:spacing w:val="-2"/>
          <w:lang w:val="fr-CA"/>
        </w:rPr>
        <w:t>Prochaines étapes :</w:t>
      </w:r>
      <w:r w:rsidRPr="008A3351">
        <w:rPr>
          <w:spacing w:val="-2"/>
          <w:lang w:val="fr-CA"/>
        </w:rPr>
        <w:t xml:space="preserve"> Le Sénat continuera de travailler avec SPAC et d’autres</w:t>
      </w:r>
      <w:r w:rsidRPr="008A3351">
        <w:rPr>
          <w:lang w:val="fr-CA"/>
        </w:rPr>
        <w:t xml:space="preserve"> partenaires sur cette initiative. Une fois que NAC aura publié les normes sur la signalisation, SPAC mettra à jour ses normes pour y inclure les exigences en matière d’accessibilité et les pratiques exemplaires applicables. La norme de SPAC sera utilisée pour mettre à jour la signalisation dans les bâtiments du Sénat.</w:t>
      </w:r>
    </w:p>
    <w:p w14:paraId="7ECD2AFC" w14:textId="19BC9AE6" w:rsidR="003A01D2" w:rsidRPr="008A3351" w:rsidRDefault="003A01D2" w:rsidP="007D3C3F">
      <w:pPr>
        <w:pStyle w:val="Bodynumberedlist"/>
        <w:rPr>
          <w:lang w:val="fr-CA"/>
        </w:rPr>
      </w:pPr>
      <w:r w:rsidRPr="008A3351">
        <w:rPr>
          <w:lang w:val="fr-CA"/>
        </w:rPr>
        <w:t>D’ici la fin 2023, le Sénat veillera à ce qu’une signalisation soit ajoutée dans les salles de comités afin de réserver certaines places équipées d’oreillettes</w:t>
      </w:r>
      <w:r w:rsidR="00591AFD" w:rsidRPr="008A3351">
        <w:rPr>
          <w:lang w:val="fr-CA"/>
        </w:rPr>
        <w:t xml:space="preserve"> audios</w:t>
      </w:r>
      <w:r w:rsidRPr="008A3351">
        <w:rPr>
          <w:lang w:val="fr-CA"/>
        </w:rPr>
        <w:t xml:space="preserve"> pour les personnes ayant un handicap auditif.</w:t>
      </w:r>
    </w:p>
    <w:p w14:paraId="2FD6A000" w14:textId="1847A0C3" w:rsidR="008724B1" w:rsidRPr="008A3351" w:rsidRDefault="6A5D5D5A" w:rsidP="00F91640">
      <w:pPr>
        <w:pStyle w:val="Bodynumberedlist"/>
        <w:numPr>
          <w:ilvl w:val="1"/>
          <w:numId w:val="8"/>
        </w:numPr>
        <w:rPr>
          <w:rFonts w:ascii="Calibri" w:eastAsia="Calibri" w:hAnsi="Calibri" w:cs="Calibri"/>
          <w:lang w:val="fr-CA"/>
        </w:rPr>
      </w:pPr>
      <w:r w:rsidRPr="008A3351">
        <w:rPr>
          <w:b/>
          <w:lang w:val="fr-CA"/>
        </w:rPr>
        <w:t xml:space="preserve">État : atteint. </w:t>
      </w:r>
      <w:r w:rsidRPr="008A3351">
        <w:rPr>
          <w:lang w:val="fr-CA"/>
        </w:rPr>
        <w:t xml:space="preserve">Le Sénat a installé des panneaux indiquant les places réservées dans chacune de ses salles de comités et a </w:t>
      </w:r>
      <w:r w:rsidRPr="008A3351">
        <w:rPr>
          <w:rFonts w:ascii="Calibri" w:hAnsi="Calibri"/>
          <w:lang w:val="fr-CA"/>
        </w:rPr>
        <w:t>consulté la personne qui avait ciblé l’obstacle pour s’assurer que les mesures prises étaient efficaces</w:t>
      </w:r>
      <w:r w:rsidRPr="008A3351">
        <w:rPr>
          <w:lang w:val="fr-CA"/>
        </w:rPr>
        <w:t>.</w:t>
      </w:r>
      <w:r w:rsidRPr="008A3351">
        <w:rPr>
          <w:rFonts w:ascii="Calibri" w:hAnsi="Calibri"/>
          <w:lang w:val="fr-CA"/>
        </w:rPr>
        <w:t xml:space="preserve"> Des ensembles audio</w:t>
      </w:r>
      <w:r w:rsidR="00247398" w:rsidRPr="008A3351">
        <w:rPr>
          <w:rFonts w:ascii="Calibri" w:hAnsi="Calibri"/>
          <w:lang w:val="fr-CA"/>
        </w:rPr>
        <w:t>s</w:t>
      </w:r>
      <w:r w:rsidRPr="008A3351">
        <w:rPr>
          <w:rFonts w:ascii="Calibri" w:hAnsi="Calibri"/>
          <w:lang w:val="fr-CA"/>
        </w:rPr>
        <w:t xml:space="preserve"> mobiles qui amplifient le son sont également accessibles dans les salles de comités. Les sénateurs et les employés du Sénat ont été informés de la possibilité de réserver des sièges et </w:t>
      </w:r>
      <w:r w:rsidR="00A1613A" w:rsidRPr="008A3351">
        <w:rPr>
          <w:rFonts w:ascii="Calibri" w:hAnsi="Calibri"/>
          <w:lang w:val="fr-CA"/>
        </w:rPr>
        <w:t>des ensembles audios</w:t>
      </w:r>
      <w:r w:rsidRPr="008A3351">
        <w:rPr>
          <w:rFonts w:ascii="Calibri" w:hAnsi="Calibri"/>
          <w:lang w:val="fr-CA"/>
        </w:rPr>
        <w:t>.</w:t>
      </w:r>
    </w:p>
    <w:p w14:paraId="7C9FC90E" w14:textId="718E916C" w:rsidR="008724B1" w:rsidRPr="008A3351" w:rsidRDefault="6A5D5D5A" w:rsidP="00F91640">
      <w:pPr>
        <w:pStyle w:val="Bodynumberedlist"/>
        <w:numPr>
          <w:ilvl w:val="1"/>
          <w:numId w:val="8"/>
        </w:numPr>
        <w:rPr>
          <w:lang w:val="fr-CA"/>
        </w:rPr>
      </w:pPr>
      <w:r w:rsidRPr="008A3351">
        <w:rPr>
          <w:b/>
          <w:lang w:val="fr-CA"/>
        </w:rPr>
        <w:t xml:space="preserve">Prochaines étapes : </w:t>
      </w:r>
      <w:r w:rsidR="00C83C7B" w:rsidRPr="008A3351">
        <w:rPr>
          <w:lang w:val="fr-CA"/>
        </w:rPr>
        <w:t>N</w:t>
      </w:r>
      <w:r w:rsidRPr="008A3351">
        <w:rPr>
          <w:lang w:val="fr-CA"/>
        </w:rPr>
        <w:t>e s’applique pas.</w:t>
      </w:r>
    </w:p>
    <w:p w14:paraId="1FF6F56B" w14:textId="58CCB899" w:rsidR="003A01D2" w:rsidRPr="008A3351" w:rsidRDefault="003A01D2" w:rsidP="007D3C3F">
      <w:pPr>
        <w:pStyle w:val="Bodynumberedlist"/>
        <w:rPr>
          <w:lang w:val="fr-CA"/>
        </w:rPr>
      </w:pPr>
      <w:r w:rsidRPr="008A3351">
        <w:rPr>
          <w:lang w:val="fr-CA"/>
        </w:rPr>
        <w:t xml:space="preserve">D’ici fin 2023, le Sénat établira des critères pour encadrer la planification de ses </w:t>
      </w:r>
      <w:r w:rsidRPr="008A3351">
        <w:rPr>
          <w:spacing w:val="-2"/>
          <w:lang w:val="fr-CA"/>
        </w:rPr>
        <w:t>espaces intérieurs afin de s’assurer que la planification tient compte des dernières</w:t>
      </w:r>
      <w:r w:rsidRPr="008A3351">
        <w:rPr>
          <w:lang w:val="fr-CA"/>
        </w:rPr>
        <w:t xml:space="preserve"> pratiques de conception inclusive et qu’il se conforme aux normes d’accessibilité et aux pratiques exemplaires.</w:t>
      </w:r>
    </w:p>
    <w:p w14:paraId="0D923EDD" w14:textId="4CC11E92" w:rsidR="00094687" w:rsidRPr="008A3351" w:rsidRDefault="6A5D5D5A" w:rsidP="00F91640">
      <w:pPr>
        <w:pStyle w:val="Bodynumberedlist"/>
        <w:numPr>
          <w:ilvl w:val="1"/>
          <w:numId w:val="8"/>
        </w:numPr>
        <w:rPr>
          <w:lang w:val="fr-CA"/>
        </w:rPr>
      </w:pPr>
      <w:r w:rsidRPr="008A3351">
        <w:rPr>
          <w:b/>
          <w:lang w:val="fr-CA"/>
        </w:rPr>
        <w:t xml:space="preserve">État : atteint. </w:t>
      </w:r>
      <w:r w:rsidRPr="008A3351">
        <w:rPr>
          <w:lang w:val="fr-CA"/>
        </w:rPr>
        <w:t xml:space="preserve">Le Sénat a rédigé des </w:t>
      </w:r>
      <w:r w:rsidR="00F554F0" w:rsidRPr="008A3351">
        <w:rPr>
          <w:i/>
          <w:lang w:val="fr-CA"/>
        </w:rPr>
        <w:t>Lignes directrices en matière d’accessibilité pour les locaux du Sénat</w:t>
      </w:r>
      <w:r w:rsidRPr="008A3351">
        <w:rPr>
          <w:lang w:val="fr-CA"/>
        </w:rPr>
        <w:t xml:space="preserve">. Ces lignes directrices s’appliquent aux espaces intérieurs de tous les bâtiments occupés par le Sénat. </w:t>
      </w:r>
    </w:p>
    <w:p w14:paraId="09A71603" w14:textId="2E2038B8" w:rsidR="00C26EA3" w:rsidRPr="008A3351" w:rsidRDefault="6A51C22B" w:rsidP="00F91640">
      <w:pPr>
        <w:pStyle w:val="Bodynumberedlist"/>
        <w:numPr>
          <w:ilvl w:val="1"/>
          <w:numId w:val="8"/>
        </w:numPr>
        <w:rPr>
          <w:lang w:val="fr-CA"/>
        </w:rPr>
      </w:pPr>
      <w:r w:rsidRPr="008A3351">
        <w:rPr>
          <w:b/>
          <w:lang w:val="fr-CA"/>
        </w:rPr>
        <w:lastRenderedPageBreak/>
        <w:t xml:space="preserve">Prochaines étapes : </w:t>
      </w:r>
      <w:r w:rsidRPr="008A3351">
        <w:rPr>
          <w:lang w:val="fr-CA"/>
        </w:rPr>
        <w:t xml:space="preserve">Ces lignes directrices seront mises en œuvre par SPAC, qui effectue la construction ou les travaux, dans tous les projets afin d’assurer la conformité avec les pratiques exemplaires les plus récentes en matière d’accessibilité et de conception universelles. Le Sénat poursuivra ses consultations internes afin de s’assurer que les lignes directrices continuent de répondre aux besoins des utilisateurs. </w:t>
      </w:r>
    </w:p>
    <w:p w14:paraId="6031C4B0" w14:textId="3789A13F" w:rsidR="003A01D2" w:rsidRPr="008A3351" w:rsidRDefault="76907139" w:rsidP="007D3C3F">
      <w:pPr>
        <w:pStyle w:val="Bodynumberedlist"/>
        <w:rPr>
          <w:lang w:val="fr-CA"/>
        </w:rPr>
      </w:pPr>
      <w:r w:rsidRPr="008A3351">
        <w:rPr>
          <w:lang w:val="fr-CA"/>
        </w:rPr>
        <w:t>D’ici fin 2023, le Sénat créera un processus permettant d’examiner et de revoir régulièrement l’accessibilité des bâtiments occupés par le Sénat afin de s’assurer que de nouveaux obstacles n’ont pas été créés et que les caractéristiques d’accessibilité existantes ont été entretenues.</w:t>
      </w:r>
    </w:p>
    <w:p w14:paraId="70C58E7A" w14:textId="6D439339" w:rsidR="00C26EA3" w:rsidRPr="008A3351" w:rsidRDefault="6A5D5D5A" w:rsidP="00F91640">
      <w:pPr>
        <w:pStyle w:val="Bodynumberedlist"/>
        <w:numPr>
          <w:ilvl w:val="1"/>
          <w:numId w:val="8"/>
        </w:numPr>
        <w:rPr>
          <w:lang w:val="fr-CA"/>
        </w:rPr>
      </w:pPr>
      <w:r w:rsidRPr="008A3351">
        <w:rPr>
          <w:b/>
          <w:lang w:val="fr-CA"/>
        </w:rPr>
        <w:t xml:space="preserve">État : atteint. </w:t>
      </w:r>
      <w:r w:rsidRPr="008A3351">
        <w:rPr>
          <w:lang w:val="fr-CA"/>
        </w:rPr>
        <w:t xml:space="preserve">Les listes de contrôle quotidiennes et mensuelles existantes comprennent maintenant la vérification des caractéristiques d’accessibilité particulières (p. ex. les allées, les espaces libres autour des lavabos et des fontaines), ainsi que l’essai des composants mécaniques (p. ex. les chasses </w:t>
      </w:r>
      <w:r w:rsidRPr="008A3351">
        <w:rPr>
          <w:spacing w:val="-2"/>
          <w:lang w:val="fr-CA"/>
        </w:rPr>
        <w:t>d’eau automatiques, les distributeurs automatiques de savon, les dispositifs</w:t>
      </w:r>
      <w:r w:rsidRPr="008A3351">
        <w:rPr>
          <w:lang w:val="fr-CA"/>
        </w:rPr>
        <w:t xml:space="preserve"> </w:t>
      </w:r>
      <w:r w:rsidRPr="008A3351">
        <w:rPr>
          <w:spacing w:val="-2"/>
          <w:lang w:val="fr-CA"/>
        </w:rPr>
        <w:t>de fermeture de porte). Tout problème sera enregistré dans le système</w:t>
      </w:r>
      <w:r w:rsidRPr="008A3351">
        <w:rPr>
          <w:lang w:val="fr-CA"/>
        </w:rPr>
        <w:t xml:space="preserve"> de gestion des appels afin d’assurer le suivi des mesures.</w:t>
      </w:r>
    </w:p>
    <w:p w14:paraId="09450AD8" w14:textId="517B1B28" w:rsidR="00C26EA3" w:rsidRPr="008A3351" w:rsidRDefault="6A5D5D5A" w:rsidP="00F91640">
      <w:pPr>
        <w:pStyle w:val="Bodynumberedlist"/>
        <w:numPr>
          <w:ilvl w:val="1"/>
          <w:numId w:val="8"/>
        </w:numPr>
        <w:rPr>
          <w:lang w:val="fr-CA"/>
        </w:rPr>
      </w:pPr>
      <w:r w:rsidRPr="008A3351">
        <w:rPr>
          <w:b/>
          <w:lang w:val="fr-CA"/>
        </w:rPr>
        <w:t>Prochaines étapes :</w:t>
      </w:r>
      <w:r w:rsidRPr="008A3351">
        <w:rPr>
          <w:lang w:val="fr-CA"/>
        </w:rPr>
        <w:t xml:space="preserve"> </w:t>
      </w:r>
      <w:r w:rsidR="00C83C7B" w:rsidRPr="008A3351">
        <w:rPr>
          <w:lang w:val="fr-CA"/>
        </w:rPr>
        <w:t>P</w:t>
      </w:r>
      <w:r w:rsidRPr="008A3351">
        <w:rPr>
          <w:lang w:val="fr-CA"/>
        </w:rPr>
        <w:t>oursuivre la mise en œuvre du nouveau processus.</w:t>
      </w:r>
    </w:p>
    <w:p w14:paraId="70538454" w14:textId="1654B7AD" w:rsidR="003A01D2" w:rsidRPr="008A3351" w:rsidRDefault="76907139" w:rsidP="007D3C3F">
      <w:pPr>
        <w:pStyle w:val="Bodynumberedlist"/>
        <w:rPr>
          <w:lang w:val="fr-CA"/>
        </w:rPr>
      </w:pPr>
      <w:r w:rsidRPr="008A3351">
        <w:rPr>
          <w:lang w:val="fr-CA"/>
        </w:rPr>
        <w:t xml:space="preserve">D’ici fin 2023, le Sénat mettra à jour le « Formulaire d’accès à l’enceinte du Sénat » afin d’inclure une partie au bas du formulaire indiquant les numéros du Sénat à contacter si leurs visiteurs ont besoin d’une aide quelconque en matière d’accessibilité (p. ex. s’ils sont en fauteuil roulant). </w:t>
      </w:r>
    </w:p>
    <w:p w14:paraId="4B5F2AE6" w14:textId="0923236D" w:rsidR="006E3551" w:rsidRPr="008A3351" w:rsidRDefault="6A5D5D5A" w:rsidP="00F91640">
      <w:pPr>
        <w:pStyle w:val="Bodynumberedlist"/>
        <w:numPr>
          <w:ilvl w:val="1"/>
          <w:numId w:val="8"/>
        </w:numPr>
        <w:rPr>
          <w:b/>
          <w:bCs/>
          <w:lang w:val="fr-CA"/>
        </w:rPr>
      </w:pPr>
      <w:r w:rsidRPr="008A3351">
        <w:rPr>
          <w:b/>
          <w:lang w:val="fr-CA"/>
        </w:rPr>
        <w:t xml:space="preserve">État : atteint. </w:t>
      </w:r>
      <w:r w:rsidRPr="008A3351">
        <w:rPr>
          <w:lang w:val="fr-CA"/>
        </w:rPr>
        <w:t xml:space="preserve">Après avoir consulté les équipes chargées de la sécurité institutionnelle et le Service de protection parlementaire, le Sénat a mis à jour le formulaire en y ajoutant des personnes-ressources que les hôtes peuvent appeler pour organiser à l’avance certains aménagements en fonction des besoins en matière d’accessibilité. Les consultations ont inclus des discussions sur les rôles et les responsabilités afin de s’assurer </w:t>
      </w:r>
      <w:r w:rsidRPr="008A3351">
        <w:rPr>
          <w:lang w:val="fr-CA"/>
        </w:rPr>
        <w:lastRenderedPageBreak/>
        <w:t xml:space="preserve">que toutes les équipes impliquées dans la facilitation de l’accès aux bâtiments savent ce que l’on attend d’elles. </w:t>
      </w:r>
    </w:p>
    <w:p w14:paraId="31260EE9" w14:textId="15F8AE23" w:rsidR="00D749A7" w:rsidRPr="008A3351" w:rsidRDefault="43B61935" w:rsidP="00F91640">
      <w:pPr>
        <w:pStyle w:val="Bodynumberedlist"/>
        <w:numPr>
          <w:ilvl w:val="1"/>
          <w:numId w:val="8"/>
        </w:numPr>
        <w:rPr>
          <w:lang w:val="fr-CA"/>
        </w:rPr>
      </w:pPr>
      <w:r w:rsidRPr="008A3351">
        <w:rPr>
          <w:b/>
          <w:lang w:val="fr-CA"/>
        </w:rPr>
        <w:t xml:space="preserve">Prochaines étapes : </w:t>
      </w:r>
      <w:r w:rsidRPr="008A3351">
        <w:rPr>
          <w:lang w:val="fr-CA"/>
        </w:rPr>
        <w:t xml:space="preserve">Le Sénat surveillera l’utilisation du formulaire et recueillera les commentaires au fur et à mesure qu’ils lui parviendront. </w:t>
      </w:r>
    </w:p>
    <w:p w14:paraId="12A52A4A" w14:textId="77777777" w:rsidR="003A01D2" w:rsidRPr="008A3351" w:rsidRDefault="76907139" w:rsidP="007D3C3F">
      <w:pPr>
        <w:pStyle w:val="Heading2"/>
        <w:rPr>
          <w:lang w:val="fr-CA"/>
        </w:rPr>
      </w:pPr>
      <w:bookmarkStart w:id="19" w:name="_Toc151466306"/>
      <w:r w:rsidRPr="008A3351">
        <w:rPr>
          <w:lang w:val="fr-CA"/>
        </w:rPr>
        <w:t>Emploi</w:t>
      </w:r>
      <w:bookmarkEnd w:id="19"/>
      <w:r w:rsidRPr="008A3351">
        <w:rPr>
          <w:lang w:val="fr-CA"/>
        </w:rPr>
        <w:t xml:space="preserve"> </w:t>
      </w:r>
    </w:p>
    <w:p w14:paraId="4202C39F" w14:textId="77777777" w:rsidR="002A2967" w:rsidRPr="008A3351" w:rsidRDefault="002A2967" w:rsidP="00A10601">
      <w:pPr>
        <w:pStyle w:val="Heading3"/>
        <w:rPr>
          <w:lang w:val="fr-CA"/>
        </w:rPr>
      </w:pPr>
      <w:bookmarkStart w:id="20" w:name="_Toc151466307"/>
      <w:r w:rsidRPr="008A3351">
        <w:rPr>
          <w:lang w:val="fr-CA"/>
        </w:rPr>
        <w:t>Aperçu</w:t>
      </w:r>
      <w:bookmarkEnd w:id="20"/>
    </w:p>
    <w:p w14:paraId="5AA0A7E0" w14:textId="751D8CAC" w:rsidR="003A01D2" w:rsidRPr="008A3351" w:rsidRDefault="00CE453F" w:rsidP="217966B4">
      <w:pPr>
        <w:rPr>
          <w:lang w:val="fr-CA"/>
        </w:rPr>
      </w:pPr>
      <w:r w:rsidRPr="008A3351">
        <w:rPr>
          <w:spacing w:val="-2"/>
          <w:lang w:val="fr-CA"/>
        </w:rPr>
        <w:t>Les employés de l’Administration du Sénat ont accès à un groupe de travail parlementaire</w:t>
      </w:r>
      <w:r w:rsidRPr="008A3351">
        <w:rPr>
          <w:lang w:val="fr-CA"/>
        </w:rPr>
        <w:t xml:space="preserve"> pour les personnes en situation de handicap. Le groupe offre un soutien par les pairs aux membres du personnel en situation de handicap. </w:t>
      </w:r>
    </w:p>
    <w:p w14:paraId="36339DCA" w14:textId="77777777" w:rsidR="00256ADE" w:rsidRPr="008A3351" w:rsidRDefault="00256ADE" w:rsidP="00256ADE">
      <w:pPr>
        <w:pStyle w:val="Heading3"/>
        <w:rPr>
          <w:sz w:val="24"/>
          <w:szCs w:val="24"/>
          <w:lang w:val="fr-CA"/>
        </w:rPr>
      </w:pPr>
      <w:bookmarkStart w:id="21" w:name="_Toc151466308"/>
      <w:r w:rsidRPr="008A3351">
        <w:rPr>
          <w:lang w:val="fr-CA"/>
        </w:rPr>
        <w:t>Objectifs en matière d’accessibilité atteints ou en cours</w:t>
      </w:r>
      <w:bookmarkEnd w:id="21"/>
      <w:r w:rsidRPr="008A3351">
        <w:rPr>
          <w:lang w:val="fr-CA"/>
        </w:rPr>
        <w:t xml:space="preserve">  </w:t>
      </w:r>
    </w:p>
    <w:p w14:paraId="5BB51D3B" w14:textId="0270FA82" w:rsidR="003338A7" w:rsidRPr="008A3351" w:rsidRDefault="76907139" w:rsidP="00A10601">
      <w:pPr>
        <w:pStyle w:val="Bodynumberedlist"/>
        <w:rPr>
          <w:lang w:val="fr-CA"/>
        </w:rPr>
      </w:pPr>
      <w:r w:rsidRPr="008A3351">
        <w:rPr>
          <w:lang w:val="fr-CA"/>
        </w:rPr>
        <w:t xml:space="preserve">Le Sénat continuera à soutenir les groupes du réseau des employés, y compris le groupe pour les membres du personnel de l’Administration du Sénat en situation de handicap. </w:t>
      </w:r>
    </w:p>
    <w:p w14:paraId="7531B448" w14:textId="71BEE23F" w:rsidR="006E3551" w:rsidRPr="008A3351" w:rsidRDefault="43B61935" w:rsidP="00F91640">
      <w:pPr>
        <w:pStyle w:val="Bodynumberedlist"/>
        <w:numPr>
          <w:ilvl w:val="1"/>
          <w:numId w:val="8"/>
        </w:numPr>
        <w:rPr>
          <w:lang w:val="fr-CA"/>
        </w:rPr>
      </w:pPr>
      <w:r w:rsidRPr="008A3351">
        <w:rPr>
          <w:b/>
          <w:spacing w:val="-2"/>
          <w:lang w:val="fr-CA"/>
        </w:rPr>
        <w:t xml:space="preserve">État : en cours. </w:t>
      </w:r>
      <w:r w:rsidRPr="008A3351">
        <w:rPr>
          <w:spacing w:val="-2"/>
          <w:lang w:val="fr-CA"/>
        </w:rPr>
        <w:t>Le Sénat collabore avec d’autres employeurs parlementaires</w:t>
      </w:r>
      <w:r w:rsidRPr="008A3351">
        <w:rPr>
          <w:lang w:val="fr-CA"/>
        </w:rPr>
        <w:t xml:space="preserve"> pour promouvoir le groupe de travail auprès des employés de la Colline du Parlement.</w:t>
      </w:r>
    </w:p>
    <w:p w14:paraId="33A48FCC" w14:textId="6078FD9A" w:rsidR="00241656" w:rsidRPr="008A3351" w:rsidRDefault="4801FDF6" w:rsidP="00F91640">
      <w:pPr>
        <w:pStyle w:val="ListParagraph"/>
        <w:numPr>
          <w:ilvl w:val="1"/>
          <w:numId w:val="8"/>
        </w:numPr>
        <w:rPr>
          <w:lang w:val="fr-CA"/>
        </w:rPr>
      </w:pPr>
      <w:r w:rsidRPr="008A3351">
        <w:rPr>
          <w:b/>
          <w:lang w:val="fr-CA"/>
        </w:rPr>
        <w:t xml:space="preserve"> Prochaines étapes : </w:t>
      </w:r>
      <w:r w:rsidR="005E6B3E" w:rsidRPr="008A3351">
        <w:rPr>
          <w:lang w:val="fr-CA"/>
        </w:rPr>
        <w:t>N</w:t>
      </w:r>
      <w:r w:rsidRPr="008A3351">
        <w:rPr>
          <w:lang w:val="fr-CA"/>
        </w:rPr>
        <w:t>e s’applique pas.</w:t>
      </w:r>
    </w:p>
    <w:p w14:paraId="426CD66F" w14:textId="1BD8BAAD" w:rsidR="003A01D2" w:rsidRPr="008A3351" w:rsidRDefault="76907139" w:rsidP="007D3C3F">
      <w:pPr>
        <w:pStyle w:val="Heading2"/>
        <w:rPr>
          <w:lang w:val="fr-CA"/>
        </w:rPr>
      </w:pPr>
      <w:bookmarkStart w:id="22" w:name="_Toc151466309"/>
      <w:r w:rsidRPr="008A3351">
        <w:rPr>
          <w:lang w:val="fr-CA"/>
        </w:rPr>
        <w:t>Technologies de l’information et des communications (TIC)</w:t>
      </w:r>
      <w:bookmarkEnd w:id="22"/>
      <w:r w:rsidRPr="008A3351">
        <w:rPr>
          <w:lang w:val="fr-CA"/>
        </w:rPr>
        <w:t xml:space="preserve"> </w:t>
      </w:r>
    </w:p>
    <w:p w14:paraId="646B349E" w14:textId="1884C6A8" w:rsidR="003A01D2" w:rsidRPr="008A3351" w:rsidRDefault="76907139" w:rsidP="007D3C3F">
      <w:pPr>
        <w:pStyle w:val="Heading3"/>
        <w:rPr>
          <w:lang w:val="fr-CA"/>
        </w:rPr>
      </w:pPr>
      <w:bookmarkStart w:id="23" w:name="_Toc151466310"/>
      <w:r w:rsidRPr="008A3351">
        <w:rPr>
          <w:lang w:val="fr-CA"/>
        </w:rPr>
        <w:t>Aperçu</w:t>
      </w:r>
      <w:bookmarkEnd w:id="23"/>
      <w:r w:rsidRPr="008A3351">
        <w:rPr>
          <w:lang w:val="fr-CA"/>
        </w:rPr>
        <w:t xml:space="preserve"> </w:t>
      </w:r>
    </w:p>
    <w:p w14:paraId="38C5CBCF" w14:textId="7C494047" w:rsidR="00A7497B" w:rsidRPr="008A3351" w:rsidRDefault="00A7497B" w:rsidP="00A10601">
      <w:pPr>
        <w:rPr>
          <w:lang w:val="fr-CA"/>
        </w:rPr>
      </w:pPr>
      <w:r w:rsidRPr="008A3351">
        <w:rPr>
          <w:lang w:val="fr-CA"/>
        </w:rPr>
        <w:t>Le Sénat produit un grand volume d’information, et il est important que toute la population canadienne puisse y avoir accès. La production de documents et d’informations est un élément important du travail des employés qui soutiennent les sénateurs</w:t>
      </w:r>
      <w:r w:rsidR="005E6B3E" w:rsidRPr="008A3351">
        <w:rPr>
          <w:lang w:val="fr-CA"/>
        </w:rPr>
        <w:t>.</w:t>
      </w:r>
    </w:p>
    <w:p w14:paraId="7476DD6A" w14:textId="77777777" w:rsidR="00256ADE" w:rsidRPr="008A3351" w:rsidRDefault="00256ADE" w:rsidP="00256ADE">
      <w:pPr>
        <w:pStyle w:val="Heading3"/>
        <w:rPr>
          <w:sz w:val="24"/>
          <w:szCs w:val="24"/>
          <w:lang w:val="fr-CA"/>
        </w:rPr>
      </w:pPr>
      <w:bookmarkStart w:id="24" w:name="_Toc151466311"/>
      <w:r w:rsidRPr="008A3351">
        <w:rPr>
          <w:lang w:val="fr-CA"/>
        </w:rPr>
        <w:lastRenderedPageBreak/>
        <w:t>Objectifs en matière d’accessibilité atteints ou en cours</w:t>
      </w:r>
      <w:bookmarkEnd w:id="24"/>
      <w:r w:rsidRPr="008A3351">
        <w:rPr>
          <w:lang w:val="fr-CA"/>
        </w:rPr>
        <w:t xml:space="preserve">  </w:t>
      </w:r>
    </w:p>
    <w:p w14:paraId="1AB39EB5" w14:textId="2D5781D9" w:rsidR="003A01D2" w:rsidRPr="008A3351" w:rsidRDefault="003A01D2" w:rsidP="00F91640">
      <w:pPr>
        <w:pStyle w:val="Bodynumberedlist"/>
        <w:numPr>
          <w:ilvl w:val="0"/>
          <w:numId w:val="12"/>
        </w:numPr>
        <w:rPr>
          <w:lang w:val="fr-CA"/>
        </w:rPr>
      </w:pPr>
      <w:r w:rsidRPr="008A3351">
        <w:rPr>
          <w:lang w:val="fr-CA"/>
        </w:rPr>
        <w:t xml:space="preserve">D’ici fin 2023, le Sénat élaborera un plan d’action pour poursuivre l’examen et la correction de tous les documents et formulaires internes et externes. Ce plan décrira l’ordre dans lequel les documents seront examinés et corrigés, en commençant par les documents et formulaires les plus importants et les plus fréquemment utilisés. </w:t>
      </w:r>
    </w:p>
    <w:p w14:paraId="5D7B7BBC" w14:textId="3F3D94B7" w:rsidR="006E3551" w:rsidRPr="008A3351" w:rsidRDefault="43B61935" w:rsidP="00F91640">
      <w:pPr>
        <w:pStyle w:val="Bodynumberedlist"/>
        <w:numPr>
          <w:ilvl w:val="1"/>
          <w:numId w:val="12"/>
        </w:numPr>
        <w:rPr>
          <w:lang w:val="fr-CA"/>
        </w:rPr>
      </w:pPr>
      <w:r w:rsidRPr="008A3351">
        <w:rPr>
          <w:b/>
          <w:lang w:val="fr-CA"/>
        </w:rPr>
        <w:t>État : atteint.</w:t>
      </w:r>
      <w:r w:rsidRPr="008A3351">
        <w:rPr>
          <w:lang w:val="fr-CA"/>
        </w:rPr>
        <w:t xml:space="preserve"> Le Sénat a examiné les documents et les formulaires publiés sur son site Web, son intranet et les modèles utilisés en interne. Le plan </w:t>
      </w:r>
      <w:r w:rsidRPr="008A3351">
        <w:rPr>
          <w:spacing w:val="-2"/>
          <w:lang w:val="fr-CA"/>
        </w:rPr>
        <w:t>cible les documents qui doivent être examinés pour en assurer l’accessibilité</w:t>
      </w:r>
      <w:r w:rsidRPr="008A3351">
        <w:rPr>
          <w:lang w:val="fr-CA"/>
        </w:rPr>
        <w:t xml:space="preserve"> et propose des méthodes de remédiation potentielles et des échéances à prendre en compte au fur et à mesure que les règlements sont définis. Dans le cadre de ce plan, l’équipe de conception graphique du Sénat a suivi une formation avancée sur l’accessibilité des documents en 2023.</w:t>
      </w:r>
    </w:p>
    <w:p w14:paraId="1EA0DF0A" w14:textId="248CF63F" w:rsidR="00B940F1" w:rsidRPr="008A3351" w:rsidRDefault="43B61935" w:rsidP="00F91640">
      <w:pPr>
        <w:pStyle w:val="Bodynumberedlist"/>
        <w:numPr>
          <w:ilvl w:val="1"/>
          <w:numId w:val="12"/>
        </w:numPr>
        <w:rPr>
          <w:lang w:val="fr-CA"/>
        </w:rPr>
      </w:pPr>
      <w:r w:rsidRPr="008A3351">
        <w:rPr>
          <w:b/>
          <w:lang w:val="fr-CA"/>
        </w:rPr>
        <w:t>Prochaines étapes :</w:t>
      </w:r>
      <w:r w:rsidRPr="008A3351">
        <w:rPr>
          <w:lang w:val="fr-CA"/>
        </w:rPr>
        <w:t xml:space="preserve"> Le plan évoluera au fur et à mesure que Normes d’accessibilité Canada (NAC) publiera et adoptera des normes. À court terme, des modèles institutionnels mis à jour et une formation générale à l’accessibilité des documents pour le personnel de l’Administration du Sénat qui prépare les documents seront mis en place en 2024.  </w:t>
      </w:r>
    </w:p>
    <w:p w14:paraId="799A3DFE" w14:textId="5B54E85D" w:rsidR="003A01D2" w:rsidRPr="008A3351" w:rsidRDefault="76907139" w:rsidP="007D3C3F">
      <w:pPr>
        <w:pStyle w:val="Heading2"/>
        <w:rPr>
          <w:lang w:val="fr-CA"/>
        </w:rPr>
      </w:pPr>
      <w:bookmarkStart w:id="25" w:name="_Toc149249615"/>
      <w:bookmarkStart w:id="26" w:name="_Toc149249616"/>
      <w:bookmarkStart w:id="27" w:name="_Toc149249617"/>
      <w:bookmarkStart w:id="28" w:name="_Toc149249618"/>
      <w:bookmarkStart w:id="29" w:name="_Toc149249619"/>
      <w:bookmarkStart w:id="30" w:name="_Toc149249620"/>
      <w:bookmarkStart w:id="31" w:name="_Toc151466312"/>
      <w:bookmarkEnd w:id="25"/>
      <w:bookmarkEnd w:id="26"/>
      <w:bookmarkEnd w:id="27"/>
      <w:bookmarkEnd w:id="28"/>
      <w:bookmarkEnd w:id="29"/>
      <w:bookmarkEnd w:id="30"/>
      <w:r w:rsidRPr="008A3351">
        <w:rPr>
          <w:lang w:val="fr-CA"/>
        </w:rPr>
        <w:t>Communications autres que TIC</w:t>
      </w:r>
      <w:bookmarkEnd w:id="31"/>
      <w:r w:rsidRPr="008A3351">
        <w:rPr>
          <w:lang w:val="fr-CA"/>
        </w:rPr>
        <w:t xml:space="preserve"> </w:t>
      </w:r>
    </w:p>
    <w:p w14:paraId="2D493E46" w14:textId="26ABD172" w:rsidR="003A01D2" w:rsidRPr="008A3351" w:rsidRDefault="76907139" w:rsidP="007D3C3F">
      <w:pPr>
        <w:pStyle w:val="Heading3"/>
        <w:rPr>
          <w:lang w:val="fr-CA"/>
        </w:rPr>
      </w:pPr>
      <w:bookmarkStart w:id="32" w:name="_Toc151466313"/>
      <w:r w:rsidRPr="008A3351">
        <w:rPr>
          <w:lang w:val="fr-CA"/>
        </w:rPr>
        <w:t>Aperçu</w:t>
      </w:r>
      <w:bookmarkEnd w:id="32"/>
    </w:p>
    <w:p w14:paraId="6499881F" w14:textId="4F159474" w:rsidR="00F302E3" w:rsidRPr="008A3351" w:rsidRDefault="76907139" w:rsidP="217966B4">
      <w:pPr>
        <w:rPr>
          <w:lang w:val="fr-CA"/>
        </w:rPr>
      </w:pPr>
      <w:r w:rsidRPr="008A3351">
        <w:rPr>
          <w:lang w:val="fr-CA"/>
        </w:rPr>
        <w:t xml:space="preserve">De nombreuses activités du Sénat (p. ex. les réunions des comités) sont diffusées en direct. Les retransmissions en direct des activités du Sénat sont sous-titrées en direct. </w:t>
      </w:r>
      <w:r w:rsidRPr="008A3351">
        <w:rPr>
          <w:spacing w:val="-2"/>
          <w:lang w:val="fr-CA"/>
        </w:rPr>
        <w:t>Les mots prononcés pendant la diffusion apparaissent sous forme écrite au bas de l’écran</w:t>
      </w:r>
      <w:r w:rsidRPr="008A3351">
        <w:rPr>
          <w:lang w:val="fr-CA"/>
        </w:rPr>
        <w:t xml:space="preserve">. Ces diffusions en direct deviennent ensuite des vidéos sur demande auxquelles les </w:t>
      </w:r>
      <w:r w:rsidRPr="008A3351">
        <w:rPr>
          <w:spacing w:val="-2"/>
          <w:lang w:val="fr-CA"/>
        </w:rPr>
        <w:t>membres du public peuvent accéder en tout temps sur le site Web de diffusion du Sénat</w:t>
      </w:r>
      <w:r w:rsidRPr="008A3351">
        <w:rPr>
          <w:lang w:val="fr-CA"/>
        </w:rPr>
        <w:t xml:space="preserve">, </w:t>
      </w:r>
      <w:proofErr w:type="spellStart"/>
      <w:r w:rsidRPr="008A3351">
        <w:rPr>
          <w:lang w:val="fr-CA"/>
        </w:rPr>
        <w:t>SenVu</w:t>
      </w:r>
      <w:proofErr w:type="spellEnd"/>
      <w:r w:rsidRPr="008A3351">
        <w:rPr>
          <w:lang w:val="fr-CA"/>
        </w:rPr>
        <w:t>. Les sous-titres codés non révisés sont conservés lorsque les vidéos diffusées en direct sont transformées en vidéos sur demande.</w:t>
      </w:r>
    </w:p>
    <w:p w14:paraId="1806281E" w14:textId="48171401" w:rsidR="003A01D2" w:rsidRPr="008A3351" w:rsidRDefault="76907139" w:rsidP="217966B4">
      <w:pPr>
        <w:rPr>
          <w:lang w:val="fr-CA"/>
        </w:rPr>
      </w:pPr>
      <w:bookmarkStart w:id="33" w:name="_Hlk149683060"/>
      <w:r w:rsidRPr="008A3351">
        <w:rPr>
          <w:lang w:val="fr-CA"/>
        </w:rPr>
        <w:lastRenderedPageBreak/>
        <w:t xml:space="preserve">Une interprétation en langue des signes peut être fournie sur demande pour certains événements, sous réserve de la disponibilité des ressources. </w:t>
      </w:r>
    </w:p>
    <w:p w14:paraId="466A3069" w14:textId="77777777" w:rsidR="00256ADE" w:rsidRPr="008A3351" w:rsidRDefault="00256ADE" w:rsidP="00256ADE">
      <w:pPr>
        <w:pStyle w:val="Heading3"/>
        <w:rPr>
          <w:sz w:val="24"/>
          <w:szCs w:val="24"/>
          <w:lang w:val="fr-CA"/>
        </w:rPr>
      </w:pPr>
      <w:bookmarkStart w:id="34" w:name="_Toc151466314"/>
      <w:bookmarkEnd w:id="33"/>
      <w:r w:rsidRPr="008A3351">
        <w:rPr>
          <w:lang w:val="fr-CA"/>
        </w:rPr>
        <w:t>Objectifs en matière d’accessibilité atteints ou en cours</w:t>
      </w:r>
      <w:bookmarkEnd w:id="34"/>
      <w:r w:rsidRPr="008A3351">
        <w:rPr>
          <w:lang w:val="fr-CA"/>
        </w:rPr>
        <w:t xml:space="preserve">  </w:t>
      </w:r>
    </w:p>
    <w:p w14:paraId="66167FF2" w14:textId="72DA3C21" w:rsidR="003A01D2" w:rsidRPr="008A3351" w:rsidRDefault="76907139" w:rsidP="00F91640">
      <w:pPr>
        <w:pStyle w:val="Bodynumberedlist"/>
        <w:numPr>
          <w:ilvl w:val="0"/>
          <w:numId w:val="13"/>
        </w:numPr>
        <w:rPr>
          <w:lang w:val="fr-CA"/>
        </w:rPr>
      </w:pPr>
      <w:r w:rsidRPr="008A3351">
        <w:rPr>
          <w:lang w:val="fr-CA"/>
        </w:rPr>
        <w:t xml:space="preserve">D’ici fin 2023, le Sénat effectuera une évaluation des nouvelles solutions potentielles pour la communication par transcription simultanée (CART), qui pourraient permettre de visionner les sous-titres des délibérations en direct de n’importe où et sur n’importe quel appareil.  </w:t>
      </w:r>
    </w:p>
    <w:p w14:paraId="3941ADDB" w14:textId="2CEAF81C" w:rsidR="006E3551" w:rsidRPr="008A3351" w:rsidRDefault="43B61935" w:rsidP="00F91640">
      <w:pPr>
        <w:pStyle w:val="Bodynumberedlist"/>
        <w:numPr>
          <w:ilvl w:val="1"/>
          <w:numId w:val="13"/>
        </w:numPr>
        <w:rPr>
          <w:lang w:val="fr-CA"/>
        </w:rPr>
      </w:pPr>
      <w:r w:rsidRPr="008A3351">
        <w:rPr>
          <w:b/>
          <w:spacing w:val="-2"/>
          <w:lang w:val="fr-CA"/>
        </w:rPr>
        <w:t xml:space="preserve">État : </w:t>
      </w:r>
      <w:r w:rsidRPr="008A3351">
        <w:rPr>
          <w:rStyle w:val="normaltextrun"/>
          <w:b/>
          <w:spacing w:val="-2"/>
          <w:lang w:val="fr-CA"/>
        </w:rPr>
        <w:t xml:space="preserve">atteint. </w:t>
      </w:r>
      <w:r w:rsidRPr="008A3351">
        <w:rPr>
          <w:rStyle w:val="normaltextrun"/>
          <w:spacing w:val="-2"/>
          <w:lang w:val="fr-CA"/>
        </w:rPr>
        <w:t>Après avoir lancé un projet pilote avec un fournisseur externe</w:t>
      </w:r>
      <w:r w:rsidRPr="008A3351">
        <w:rPr>
          <w:rStyle w:val="normaltextrun"/>
          <w:rFonts w:ascii="Calibri" w:hAnsi="Calibri"/>
          <w:lang w:val="fr-CA"/>
        </w:rPr>
        <w:t xml:space="preserve">, le Sénat a évalué et choisi une solution interne pour un nouveau système de CART. Le système interne reprend le logiciel de sous-titrage existant </w:t>
      </w:r>
      <w:r w:rsidRPr="008A3351">
        <w:rPr>
          <w:rStyle w:val="normaltextrun"/>
          <w:rFonts w:ascii="Calibri" w:hAnsi="Calibri"/>
          <w:spacing w:val="-2"/>
          <w:lang w:val="fr-CA"/>
        </w:rPr>
        <w:t xml:space="preserve">utilisé sur </w:t>
      </w:r>
      <w:proofErr w:type="spellStart"/>
      <w:r w:rsidRPr="008A3351">
        <w:rPr>
          <w:rStyle w:val="normaltextrun"/>
          <w:rFonts w:ascii="Calibri" w:hAnsi="Calibri"/>
          <w:spacing w:val="-2"/>
          <w:lang w:val="fr-CA"/>
        </w:rPr>
        <w:t>SenVU</w:t>
      </w:r>
      <w:proofErr w:type="spellEnd"/>
      <w:r w:rsidRPr="008A3351">
        <w:rPr>
          <w:rStyle w:val="normaltextrun"/>
          <w:rFonts w:ascii="Calibri" w:hAnsi="Calibri"/>
          <w:spacing w:val="-2"/>
          <w:lang w:val="fr-CA"/>
        </w:rPr>
        <w:t xml:space="preserve"> et l’adapte à un système de CART. Une fois mis en œuvre</w:t>
      </w:r>
      <w:r w:rsidRPr="008A3351">
        <w:rPr>
          <w:rStyle w:val="normaltextrun"/>
          <w:rFonts w:ascii="Calibri" w:hAnsi="Calibri"/>
          <w:lang w:val="fr-CA"/>
        </w:rPr>
        <w:t>, le système permettra aux utilisateurs d’accéder aux sous-titres des délibérations en direct de n’importe où et sur n’importe quel appareil. Le nouveau système de CART a été élaboré et fait l’objet d’essais auprès des utilisateurs (y compris les utilisateurs sourds ou malentendants).  </w:t>
      </w:r>
      <w:r w:rsidRPr="008A3351">
        <w:rPr>
          <w:rStyle w:val="eop"/>
          <w:rFonts w:ascii="Calibri" w:hAnsi="Calibri"/>
          <w:lang w:val="fr-CA"/>
        </w:rPr>
        <w:t> </w:t>
      </w:r>
    </w:p>
    <w:p w14:paraId="689193CD" w14:textId="5A5F2147" w:rsidR="00BD7133" w:rsidRPr="008A3351" w:rsidRDefault="43B61935" w:rsidP="00F91640">
      <w:pPr>
        <w:pStyle w:val="Bodynumberedlist"/>
        <w:numPr>
          <w:ilvl w:val="1"/>
          <w:numId w:val="13"/>
        </w:numPr>
        <w:rPr>
          <w:lang w:val="fr-CA"/>
        </w:rPr>
      </w:pPr>
      <w:r w:rsidRPr="008A3351">
        <w:rPr>
          <w:b/>
          <w:bCs/>
          <w:lang w:val="fr-CA"/>
        </w:rPr>
        <w:t>Prochaines étapes :</w:t>
      </w:r>
      <w:r w:rsidRPr="008A3351">
        <w:rPr>
          <w:lang w:val="fr-CA"/>
        </w:rPr>
        <w:t xml:space="preserve"> </w:t>
      </w:r>
      <w:r w:rsidRPr="008A3351">
        <w:rPr>
          <w:rStyle w:val="normaltextrun"/>
          <w:rFonts w:ascii="Calibri" w:hAnsi="Calibri"/>
          <w:lang w:val="fr-CA"/>
        </w:rPr>
        <w:t xml:space="preserve">Le déploiement prévu du système de CART se fera en deux phases. </w:t>
      </w:r>
      <w:bookmarkStart w:id="35" w:name="_Hlk150861074"/>
      <w:r w:rsidRPr="008A3351">
        <w:rPr>
          <w:rStyle w:val="normaltextrun"/>
          <w:rFonts w:ascii="Calibri" w:hAnsi="Calibri"/>
          <w:lang w:val="fr-CA"/>
        </w:rPr>
        <w:t xml:space="preserve">Au cours de la première phase, il sera accessible à l’interne (prévu pour </w:t>
      </w:r>
      <w:r w:rsidR="009F5B2E" w:rsidRPr="008A3351">
        <w:rPr>
          <w:rStyle w:val="normaltextrun"/>
          <w:rFonts w:ascii="Calibri" w:hAnsi="Calibri"/>
          <w:lang w:val="fr-CA"/>
        </w:rPr>
        <w:t>décembre 2023</w:t>
      </w:r>
      <w:r w:rsidRPr="008A3351">
        <w:rPr>
          <w:rStyle w:val="normaltextrun"/>
          <w:rFonts w:ascii="Calibri" w:hAnsi="Calibri"/>
          <w:lang w:val="fr-CA"/>
        </w:rPr>
        <w:t>). Le système de CART sera accessible pour tous les utilisateurs, peu importe l’appareil qu’ils utilisent, au cours de la deuxième phase (prévue pour</w:t>
      </w:r>
      <w:r w:rsidR="009F5B2E" w:rsidRPr="008A3351">
        <w:rPr>
          <w:rStyle w:val="normaltextrun"/>
          <w:rFonts w:ascii="Calibri" w:hAnsi="Calibri"/>
          <w:lang w:val="fr-CA"/>
        </w:rPr>
        <w:t xml:space="preserve"> </w:t>
      </w:r>
      <w:r w:rsidR="00202FDF" w:rsidRPr="008A3351">
        <w:rPr>
          <w:rStyle w:val="normaltextrun"/>
          <w:rFonts w:ascii="Calibri" w:hAnsi="Calibri"/>
          <w:lang w:val="fr-CA"/>
        </w:rPr>
        <w:t>le deuxième semestre de 2024</w:t>
      </w:r>
      <w:r w:rsidRPr="008A3351">
        <w:rPr>
          <w:rStyle w:val="normaltextrun"/>
          <w:rFonts w:ascii="Calibri" w:hAnsi="Calibri"/>
          <w:lang w:val="fr-CA"/>
        </w:rPr>
        <w:t xml:space="preserve">). </w:t>
      </w:r>
      <w:bookmarkEnd w:id="35"/>
      <w:r w:rsidRPr="008A3351">
        <w:rPr>
          <w:rStyle w:val="normaltextrun"/>
          <w:rFonts w:ascii="Calibri" w:hAnsi="Calibri"/>
          <w:lang w:val="fr-CA"/>
        </w:rPr>
        <w:t xml:space="preserve">Entre-temps, le Sénat continue d’offrir le système de CART aux utilisateurs présents en personne par le biais de son système et de ses appareils existants. </w:t>
      </w:r>
    </w:p>
    <w:p w14:paraId="2C74E898" w14:textId="77777777" w:rsidR="00CC0ED6" w:rsidRPr="008A3351" w:rsidRDefault="76907139" w:rsidP="00F91640">
      <w:pPr>
        <w:pStyle w:val="Bodynumberedlist"/>
        <w:numPr>
          <w:ilvl w:val="0"/>
          <w:numId w:val="13"/>
        </w:numPr>
        <w:rPr>
          <w:lang w:val="fr-CA"/>
        </w:rPr>
      </w:pPr>
      <w:bookmarkStart w:id="36" w:name="_Hlk149558615"/>
      <w:r w:rsidRPr="008A3351">
        <w:rPr>
          <w:lang w:val="fr-CA"/>
        </w:rPr>
        <w:t>D’ici la fin 2023, en collaboration avec ses partenaires parlementaires, le Sénat effectuera une évaluation des ressources nécessaires pour fournir une interprétation en langue des signes pour certains travaux du Sénat et certaines cérémonies officielles.</w:t>
      </w:r>
    </w:p>
    <w:p w14:paraId="3FC58136" w14:textId="27D2BDAC" w:rsidR="00CC0ED6" w:rsidRPr="008A3351" w:rsidRDefault="43B61935" w:rsidP="00F91640">
      <w:pPr>
        <w:pStyle w:val="Bodynumberedlist"/>
        <w:numPr>
          <w:ilvl w:val="1"/>
          <w:numId w:val="13"/>
        </w:numPr>
        <w:rPr>
          <w:lang w:val="fr-CA"/>
        </w:rPr>
      </w:pPr>
      <w:r w:rsidRPr="008A3351">
        <w:rPr>
          <w:b/>
          <w:lang w:val="fr-CA"/>
        </w:rPr>
        <w:lastRenderedPageBreak/>
        <w:t>État : atteint.</w:t>
      </w:r>
      <w:r w:rsidRPr="008A3351">
        <w:rPr>
          <w:lang w:val="fr-CA"/>
        </w:rPr>
        <w:t xml:space="preserve"> L’évaluation du Sénat est fondée sur l’interprétation en langue des signes fournie lors de l’étude du projet de loi C-22 </w:t>
      </w:r>
      <w:r w:rsidRPr="008A3351">
        <w:rPr>
          <w:i/>
          <w:lang w:val="fr-CA"/>
        </w:rPr>
        <w:t>(Loi sur la prestation canadienne pour les personnes handicapées</w:t>
      </w:r>
      <w:r w:rsidRPr="008A3351">
        <w:rPr>
          <w:lang w:val="fr-CA"/>
        </w:rPr>
        <w:t xml:space="preserve">) par le Comité sénatorial des affaires sociales, des sciences et de la technologie. L’interprétation en langue des signes américaine (LSA) et en langue des signes québécoise (LSQ) </w:t>
      </w:r>
      <w:r w:rsidR="009F5B2E" w:rsidRPr="008A3351">
        <w:rPr>
          <w:lang w:val="fr-CA"/>
        </w:rPr>
        <w:t>était disponible</w:t>
      </w:r>
      <w:r w:rsidRPr="008A3351">
        <w:rPr>
          <w:lang w:val="fr-CA"/>
        </w:rPr>
        <w:t xml:space="preserve"> pendant ces réunions </w:t>
      </w:r>
      <w:r w:rsidR="009F5B2E" w:rsidRPr="008A3351">
        <w:rPr>
          <w:lang w:val="fr-CA"/>
        </w:rPr>
        <w:t xml:space="preserve">pour les </w:t>
      </w:r>
      <w:r w:rsidRPr="008A3351">
        <w:rPr>
          <w:lang w:val="fr-CA"/>
        </w:rPr>
        <w:t xml:space="preserve">participants présents dans la salle et a également été ajoutée aux enregistrements </w:t>
      </w:r>
      <w:proofErr w:type="gramStart"/>
      <w:r w:rsidRPr="008A3351">
        <w:rPr>
          <w:lang w:val="fr-CA"/>
        </w:rPr>
        <w:t>vidéo</w:t>
      </w:r>
      <w:r w:rsidR="009F5B2E" w:rsidRPr="008A3351">
        <w:rPr>
          <w:lang w:val="fr-CA"/>
        </w:rPr>
        <w:t>s</w:t>
      </w:r>
      <w:proofErr w:type="gramEnd"/>
      <w:r w:rsidRPr="008A3351">
        <w:rPr>
          <w:lang w:val="fr-CA"/>
        </w:rPr>
        <w:t xml:space="preserve"> postproduction des délibérations. L’ajout d’une interprétation en langue des signes aux enregistrements </w:t>
      </w:r>
      <w:proofErr w:type="gramStart"/>
      <w:r w:rsidRPr="008A3351">
        <w:rPr>
          <w:lang w:val="fr-CA"/>
        </w:rPr>
        <w:t>vidéo</w:t>
      </w:r>
      <w:r w:rsidR="00327A5B" w:rsidRPr="008A3351">
        <w:rPr>
          <w:lang w:val="fr-CA"/>
        </w:rPr>
        <w:t>s</w:t>
      </w:r>
      <w:proofErr w:type="gramEnd"/>
      <w:r w:rsidRPr="008A3351">
        <w:rPr>
          <w:lang w:val="fr-CA"/>
        </w:rPr>
        <w:t xml:space="preserve"> est rare en raison du nombre élevé de ressources qu’elle nécessite, mais elle vise à assurer l’accessibilité des délibérations au plus grand nombre possible de personnes concernées par le projet de loi. Cette expérience a permis d’évaluer en temps réel les ressources nécessaires pour assurer l’interprétation en langue des signes sur place et sur les diffusions et enregistrements </w:t>
      </w:r>
      <w:proofErr w:type="gramStart"/>
      <w:r w:rsidRPr="008A3351">
        <w:rPr>
          <w:lang w:val="fr-CA"/>
        </w:rPr>
        <w:t>vidéo</w:t>
      </w:r>
      <w:r w:rsidR="00327A5B" w:rsidRPr="008A3351">
        <w:rPr>
          <w:lang w:val="fr-CA"/>
        </w:rPr>
        <w:t>s</w:t>
      </w:r>
      <w:proofErr w:type="gramEnd"/>
      <w:r w:rsidRPr="008A3351">
        <w:rPr>
          <w:lang w:val="fr-CA"/>
        </w:rPr>
        <w:t xml:space="preserve">. Alors que l’interprétation en langue des signes en personne dépend largement de la disponibilité des interprètes, l’ajout de la LSA et de la LSQ à tous les enregistrements </w:t>
      </w:r>
      <w:proofErr w:type="gramStart"/>
      <w:r w:rsidRPr="008A3351">
        <w:rPr>
          <w:lang w:val="fr-CA"/>
        </w:rPr>
        <w:t>vidéo</w:t>
      </w:r>
      <w:r w:rsidR="00327A5B" w:rsidRPr="008A3351">
        <w:rPr>
          <w:lang w:val="fr-CA"/>
        </w:rPr>
        <w:t>s</w:t>
      </w:r>
      <w:proofErr w:type="gramEnd"/>
      <w:r w:rsidRPr="008A3351">
        <w:rPr>
          <w:lang w:val="fr-CA"/>
        </w:rPr>
        <w:t xml:space="preserve"> ou aux diffusions en </w:t>
      </w:r>
      <w:r w:rsidRPr="008A3351">
        <w:rPr>
          <w:spacing w:val="-2"/>
          <w:lang w:val="fr-CA"/>
        </w:rPr>
        <w:t>direct nécessite une infrastructure technologique et un niveau de personnel</w:t>
      </w:r>
      <w:r w:rsidRPr="008A3351">
        <w:rPr>
          <w:lang w:val="fr-CA"/>
        </w:rPr>
        <w:t xml:space="preserve"> dont le Sénat ne dispose pas à l’heure actuelle. L’évaluation des ressources fournit cependant une feuille de route établie et mise à l’essai pour les ressources nécessaires pour offrir une interprétation en langue des signes en postproduction pour la diffusion de certaines délibérations dans certaines circonstances.</w:t>
      </w:r>
    </w:p>
    <w:p w14:paraId="5860AD4B" w14:textId="3E042328" w:rsidR="00093888" w:rsidRPr="008A3351" w:rsidRDefault="43B61935" w:rsidP="00F91640">
      <w:pPr>
        <w:pStyle w:val="Bodynumberedlist"/>
        <w:numPr>
          <w:ilvl w:val="1"/>
          <w:numId w:val="13"/>
        </w:numPr>
        <w:rPr>
          <w:lang w:val="fr-CA"/>
        </w:rPr>
      </w:pPr>
      <w:r w:rsidRPr="008A3351">
        <w:rPr>
          <w:b/>
          <w:lang w:val="fr-CA"/>
        </w:rPr>
        <w:t>Prochaines étapes :</w:t>
      </w:r>
      <w:r w:rsidRPr="008A3351">
        <w:rPr>
          <w:lang w:val="fr-CA"/>
        </w:rPr>
        <w:t xml:space="preserve"> L’évaluation des ressources permettra d’orienter la planification de toute demande de langue des signes reçue. </w:t>
      </w:r>
    </w:p>
    <w:p w14:paraId="46F6D082" w14:textId="5AAD99BF" w:rsidR="003A01D2" w:rsidRPr="008A3351" w:rsidRDefault="76907139" w:rsidP="007D3C3F">
      <w:pPr>
        <w:pStyle w:val="Heading2"/>
        <w:rPr>
          <w:lang w:val="fr-CA"/>
        </w:rPr>
      </w:pPr>
      <w:bookmarkStart w:id="37" w:name="_Toc151466315"/>
      <w:bookmarkStart w:id="38" w:name="_Hlk148951552"/>
      <w:bookmarkEnd w:id="36"/>
      <w:r w:rsidRPr="008A3351">
        <w:rPr>
          <w:lang w:val="fr-CA"/>
        </w:rPr>
        <w:t>Acquisition de biens, de services et d’installations</w:t>
      </w:r>
      <w:bookmarkEnd w:id="37"/>
      <w:r w:rsidRPr="008A3351">
        <w:rPr>
          <w:lang w:val="fr-CA"/>
        </w:rPr>
        <w:t xml:space="preserve"> </w:t>
      </w:r>
    </w:p>
    <w:p w14:paraId="6BF1C04A" w14:textId="6D9404AF" w:rsidR="00A7497B" w:rsidRPr="008A3351" w:rsidRDefault="00A7497B" w:rsidP="00A7497B">
      <w:pPr>
        <w:pStyle w:val="Heading3"/>
        <w:rPr>
          <w:lang w:val="fr-CA"/>
        </w:rPr>
      </w:pPr>
      <w:bookmarkStart w:id="39" w:name="_Toc151466316"/>
      <w:r w:rsidRPr="008A3351">
        <w:rPr>
          <w:lang w:val="fr-CA"/>
        </w:rPr>
        <w:t>Aperçu</w:t>
      </w:r>
      <w:bookmarkEnd w:id="39"/>
    </w:p>
    <w:p w14:paraId="6BE50A97" w14:textId="62849B31" w:rsidR="00A7497B" w:rsidRPr="008A3351" w:rsidRDefault="00A7497B" w:rsidP="00A10601">
      <w:pPr>
        <w:rPr>
          <w:lang w:val="fr-CA"/>
        </w:rPr>
      </w:pPr>
      <w:r w:rsidRPr="008A3351">
        <w:rPr>
          <w:lang w:val="fr-CA"/>
        </w:rPr>
        <w:t xml:space="preserve">Lorsque le Sénat achète des biens et des services liés à des sites Web et à des outils en ligne, il inclut dans ses demandes un libellé sur les exigences WCAG 2.1 AA. Pour les </w:t>
      </w:r>
      <w:r w:rsidRPr="008A3351">
        <w:rPr>
          <w:lang w:val="fr-CA"/>
        </w:rPr>
        <w:lastRenderedPageBreak/>
        <w:t xml:space="preserve">autres biens et services que le Sénat acquiert par processus concurrentiel, les soumissionnaires sont invités à décrire leurs pratiques d’accessibilité dans leurs offres. </w:t>
      </w:r>
    </w:p>
    <w:p w14:paraId="746106E8" w14:textId="77777777" w:rsidR="00256ADE" w:rsidRPr="008A3351" w:rsidRDefault="00256ADE" w:rsidP="00256ADE">
      <w:pPr>
        <w:pStyle w:val="Heading3"/>
        <w:rPr>
          <w:sz w:val="24"/>
          <w:szCs w:val="24"/>
          <w:lang w:val="fr-CA"/>
        </w:rPr>
      </w:pPr>
      <w:bookmarkStart w:id="40" w:name="_Toc151466317"/>
      <w:r w:rsidRPr="008A3351">
        <w:rPr>
          <w:lang w:val="fr-CA"/>
        </w:rPr>
        <w:t>Objectifs en matière d’accessibilité atteints ou en cours</w:t>
      </w:r>
      <w:bookmarkEnd w:id="40"/>
      <w:r w:rsidRPr="008A3351">
        <w:rPr>
          <w:lang w:val="fr-CA"/>
        </w:rPr>
        <w:t xml:space="preserve">  </w:t>
      </w:r>
    </w:p>
    <w:p w14:paraId="72701446" w14:textId="341EE2B8" w:rsidR="000974CB" w:rsidRPr="008A3351" w:rsidRDefault="003A01D2" w:rsidP="00F91640">
      <w:pPr>
        <w:pStyle w:val="Bodynumberedlist"/>
        <w:numPr>
          <w:ilvl w:val="0"/>
          <w:numId w:val="14"/>
        </w:numPr>
        <w:rPr>
          <w:lang w:val="fr-CA"/>
        </w:rPr>
      </w:pPr>
      <w:r w:rsidRPr="008A3351">
        <w:rPr>
          <w:lang w:val="fr-CA"/>
        </w:rPr>
        <w:t>D’ici fin 2023, le Sénat disposera d’une liste de contrôle permettant aux clients de s’assurer que l’accessibilité est prise en compte lors de l’élaboration de leurs besoins. Les employés de la Direction des finances et de l’approvisionnement se tiendront informés de toute norme d’accessibilité future afin d’assurer la conformité aux exigences en matière d’accessibilité et aux pratiques exemplaires applicables.</w:t>
      </w:r>
    </w:p>
    <w:p w14:paraId="26898226" w14:textId="32481A53" w:rsidR="000974CB" w:rsidRPr="008A3351" w:rsidRDefault="696C23DA" w:rsidP="00F91640">
      <w:pPr>
        <w:pStyle w:val="Bodynumberedlist"/>
        <w:numPr>
          <w:ilvl w:val="1"/>
          <w:numId w:val="14"/>
        </w:numPr>
        <w:rPr>
          <w:rStyle w:val="Strong"/>
          <w:b w:val="0"/>
          <w:bCs w:val="0"/>
          <w:lang w:val="fr-CA"/>
        </w:rPr>
      </w:pPr>
      <w:bookmarkStart w:id="41" w:name="_Hlk149646449"/>
      <w:r w:rsidRPr="008A3351">
        <w:rPr>
          <w:b/>
          <w:lang w:val="fr-CA"/>
        </w:rPr>
        <w:t>État : atteint.</w:t>
      </w:r>
      <w:r w:rsidRPr="008A3351">
        <w:rPr>
          <w:lang w:val="fr-CA"/>
        </w:rPr>
        <w:t xml:space="preserve"> </w:t>
      </w:r>
      <w:r w:rsidRPr="008A3351">
        <w:rPr>
          <w:rStyle w:val="Strong"/>
          <w:b w:val="0"/>
          <w:lang w:val="fr-CA"/>
        </w:rPr>
        <w:t xml:space="preserve">Le Sénat a préparé une série de listes de contrôle que les sénateurs et les employés du Sénat doivent utiliser lorsqu’ils demandent l’acquisition de biens et de services. Ces listes de contrôle permettront de s’assurer que l’accessibilité est prise en compte lorsque les sénateurs ou les employés commencent l’élaboration de leurs besoins. </w:t>
      </w:r>
    </w:p>
    <w:bookmarkEnd w:id="41"/>
    <w:p w14:paraId="0487EA60" w14:textId="02AA917B" w:rsidR="009C5FFE" w:rsidRPr="008A3351" w:rsidRDefault="000974CB" w:rsidP="00F91640">
      <w:pPr>
        <w:pStyle w:val="Bodynumberedlist"/>
        <w:numPr>
          <w:ilvl w:val="1"/>
          <w:numId w:val="14"/>
        </w:numPr>
        <w:rPr>
          <w:lang w:val="fr-CA"/>
        </w:rPr>
      </w:pPr>
      <w:r w:rsidRPr="008A3351">
        <w:rPr>
          <w:rStyle w:val="Strong"/>
          <w:lang w:val="fr-CA"/>
        </w:rPr>
        <w:t>Prochaines étapes :</w:t>
      </w:r>
      <w:r w:rsidRPr="008A3351">
        <w:rPr>
          <w:rStyle w:val="Strong"/>
          <w:b w:val="0"/>
          <w:lang w:val="fr-CA"/>
        </w:rPr>
        <w:t xml:space="preserve"> </w:t>
      </w:r>
      <w:r w:rsidRPr="008A3351">
        <w:rPr>
          <w:lang w:val="fr-CA"/>
        </w:rPr>
        <w:t>Les listes de contrôle seront mises à jour au fur et à mesure de l’évolution des pratiques exemplaires en matière d’accessibilité dans ce domaine.</w:t>
      </w:r>
    </w:p>
    <w:p w14:paraId="6A7F0A36" w14:textId="07D8232F" w:rsidR="003A01D2" w:rsidRPr="008A3351" w:rsidRDefault="76907139" w:rsidP="007D3C3F">
      <w:pPr>
        <w:pStyle w:val="Heading2"/>
        <w:rPr>
          <w:lang w:val="fr-CA"/>
        </w:rPr>
      </w:pPr>
      <w:bookmarkStart w:id="42" w:name="_Toc151466318"/>
      <w:bookmarkEnd w:id="38"/>
      <w:r w:rsidRPr="008A3351">
        <w:rPr>
          <w:lang w:val="fr-CA"/>
        </w:rPr>
        <w:t>Conception et prestation de programmes et de services</w:t>
      </w:r>
      <w:bookmarkEnd w:id="42"/>
      <w:r w:rsidRPr="008A3351">
        <w:rPr>
          <w:lang w:val="fr-CA"/>
        </w:rPr>
        <w:t xml:space="preserve"> </w:t>
      </w:r>
    </w:p>
    <w:p w14:paraId="26B7A631" w14:textId="4BFCA743" w:rsidR="003A01D2" w:rsidRPr="008A3351" w:rsidRDefault="76907139" w:rsidP="007D3C3F">
      <w:pPr>
        <w:pStyle w:val="Heading3"/>
        <w:rPr>
          <w:lang w:val="fr-CA"/>
        </w:rPr>
      </w:pPr>
      <w:bookmarkStart w:id="43" w:name="_Toc151466319"/>
      <w:r w:rsidRPr="008A3351">
        <w:rPr>
          <w:lang w:val="fr-CA"/>
        </w:rPr>
        <w:t>Aperçu</w:t>
      </w:r>
      <w:bookmarkEnd w:id="43"/>
      <w:r w:rsidRPr="008A3351">
        <w:rPr>
          <w:lang w:val="fr-CA"/>
        </w:rPr>
        <w:t xml:space="preserve"> </w:t>
      </w:r>
    </w:p>
    <w:p w14:paraId="36A99B65" w14:textId="55674593" w:rsidR="00F302E3" w:rsidRPr="008A3351" w:rsidRDefault="00F302E3" w:rsidP="00A10601">
      <w:pPr>
        <w:rPr>
          <w:lang w:val="fr-CA"/>
        </w:rPr>
      </w:pPr>
      <w:r w:rsidRPr="008A3351">
        <w:rPr>
          <w:spacing w:val="-2"/>
          <w:lang w:val="fr-CA"/>
        </w:rPr>
        <w:t>Le Sénat organise différents types d’événements publics et internes. Des lignes directrices</w:t>
      </w:r>
      <w:r w:rsidRPr="008A3351">
        <w:rPr>
          <w:lang w:val="fr-CA"/>
        </w:rPr>
        <w:t xml:space="preserve"> sur la manière de s’assurer que des services d’accessibilité sont proposés et fournis lors d’événements permettront de s’assurer que les participants sont systématiquement invités à faire part de leurs besoins en matière d’accessibilité, que les pratiques exemplaires sont systématiquement suivies et que les besoins particuliers des clients sont pris en compte.</w:t>
      </w:r>
    </w:p>
    <w:p w14:paraId="08979ECA" w14:textId="77777777" w:rsidR="00256ADE" w:rsidRPr="008A3351" w:rsidRDefault="00256ADE" w:rsidP="00256ADE">
      <w:pPr>
        <w:pStyle w:val="Heading3"/>
        <w:rPr>
          <w:sz w:val="24"/>
          <w:szCs w:val="24"/>
          <w:lang w:val="fr-CA"/>
        </w:rPr>
      </w:pPr>
      <w:bookmarkStart w:id="44" w:name="_Toc151466320"/>
      <w:r w:rsidRPr="008A3351">
        <w:rPr>
          <w:lang w:val="fr-CA"/>
        </w:rPr>
        <w:lastRenderedPageBreak/>
        <w:t>Objectifs en matière d’accessibilité atteints ou en cours</w:t>
      </w:r>
      <w:bookmarkEnd w:id="44"/>
      <w:r w:rsidRPr="008A3351">
        <w:rPr>
          <w:lang w:val="fr-CA"/>
        </w:rPr>
        <w:t xml:space="preserve">  </w:t>
      </w:r>
    </w:p>
    <w:p w14:paraId="0EDB62C8" w14:textId="0C811E61" w:rsidR="006E3551" w:rsidRPr="008A3351" w:rsidRDefault="003A01D2" w:rsidP="00F91640">
      <w:pPr>
        <w:pStyle w:val="Bodynumberedlist"/>
        <w:numPr>
          <w:ilvl w:val="0"/>
          <w:numId w:val="15"/>
        </w:numPr>
        <w:rPr>
          <w:lang w:val="fr-CA"/>
        </w:rPr>
      </w:pPr>
      <w:r w:rsidRPr="008A3351">
        <w:rPr>
          <w:lang w:val="fr-CA"/>
        </w:rPr>
        <w:t>D’ici</w:t>
      </w:r>
      <w:r w:rsidR="009D62A2" w:rsidRPr="008A3351">
        <w:rPr>
          <w:lang w:val="fr-CA"/>
        </w:rPr>
        <w:t xml:space="preserve"> </w:t>
      </w:r>
      <w:r w:rsidRPr="008A3351">
        <w:rPr>
          <w:lang w:val="fr-CA"/>
        </w:rPr>
        <w:t>fin 2023, le Sénat élaborera des lignes directrices sur la façon dont les services d’accessibilité peuvent être offerts et fournis aux membres du public en situation de handicap qui participent aux activités du Sénat. Ces lignes directrices serviront aussi lors de la planification et de l’organisation d’événements.</w:t>
      </w:r>
    </w:p>
    <w:p w14:paraId="5A51963D" w14:textId="393B4357" w:rsidR="006973E4" w:rsidRPr="008A3351" w:rsidRDefault="43B61935" w:rsidP="00F91640">
      <w:pPr>
        <w:pStyle w:val="Bodynumberedlist"/>
        <w:numPr>
          <w:ilvl w:val="1"/>
          <w:numId w:val="15"/>
        </w:numPr>
        <w:rPr>
          <w:lang w:val="fr-CA"/>
        </w:rPr>
      </w:pPr>
      <w:r w:rsidRPr="008A3351">
        <w:rPr>
          <w:b/>
          <w:lang w:val="fr-CA"/>
        </w:rPr>
        <w:t xml:space="preserve">État mis à jour : atteint. </w:t>
      </w:r>
      <w:r w:rsidRPr="008A3351">
        <w:rPr>
          <w:lang w:val="fr-CA"/>
        </w:rPr>
        <w:t xml:space="preserve">Les </w:t>
      </w:r>
      <w:r w:rsidR="00F554F0" w:rsidRPr="008A3351">
        <w:rPr>
          <w:lang w:val="fr-CA"/>
        </w:rPr>
        <w:t>Lignes directrices en matière d</w:t>
      </w:r>
      <w:r w:rsidR="00D470C9" w:rsidRPr="008A3351">
        <w:rPr>
          <w:lang w:val="fr-CA"/>
        </w:rPr>
        <w:t>’</w:t>
      </w:r>
      <w:r w:rsidR="00F554F0" w:rsidRPr="008A3351">
        <w:rPr>
          <w:lang w:val="fr-CA"/>
        </w:rPr>
        <w:t>accessibilité pour les événements</w:t>
      </w:r>
      <w:r w:rsidRPr="008A3351">
        <w:rPr>
          <w:lang w:val="fr-CA"/>
        </w:rPr>
        <w:t xml:space="preserve"> ont été élaborées sous forme de listes de contrôle à utiliser lors de la planification et de l’organisation d’événements. Les renseignements recueillis lors des consultations, y compris celles menées auprès des personnes en situation de handicap, ont permis d’élaborer le contenu des lignes directrices. Ces lignes directrices ont été examinées par les intervenants internes du Sénat qui organisent ou accueillent des événements.</w:t>
      </w:r>
    </w:p>
    <w:p w14:paraId="5D54E7FB" w14:textId="1F777717" w:rsidR="009C5FFE" w:rsidRPr="008A3351" w:rsidRDefault="43B61935" w:rsidP="00F91640">
      <w:pPr>
        <w:pStyle w:val="Bodynumberedlist"/>
        <w:numPr>
          <w:ilvl w:val="1"/>
          <w:numId w:val="15"/>
        </w:numPr>
        <w:rPr>
          <w:lang w:val="fr-CA"/>
        </w:rPr>
      </w:pPr>
      <w:r w:rsidRPr="008A3351">
        <w:rPr>
          <w:b/>
          <w:lang w:val="fr-CA"/>
        </w:rPr>
        <w:t xml:space="preserve">Prochaines étapes : </w:t>
      </w:r>
      <w:r w:rsidRPr="008A3351">
        <w:rPr>
          <w:lang w:val="fr-CA"/>
        </w:rPr>
        <w:t>Les lignes directrices seront diffusées sur l’intranet du Sénat et utilisées lors de la planification et de l’organisation d’événements.</w:t>
      </w:r>
    </w:p>
    <w:p w14:paraId="51EBEC45" w14:textId="7C0D45A4" w:rsidR="003A01D2" w:rsidRPr="008A3351" w:rsidRDefault="76907139" w:rsidP="007D3C3F">
      <w:pPr>
        <w:pStyle w:val="Heading2"/>
        <w:rPr>
          <w:lang w:val="fr-CA"/>
        </w:rPr>
      </w:pPr>
      <w:bookmarkStart w:id="45" w:name="_Toc151466321"/>
      <w:bookmarkStart w:id="46" w:name="_Hlk148967122"/>
      <w:r w:rsidRPr="008A3351">
        <w:rPr>
          <w:lang w:val="fr-CA"/>
        </w:rPr>
        <w:t>Transport</w:t>
      </w:r>
      <w:bookmarkEnd w:id="45"/>
      <w:r w:rsidRPr="008A3351">
        <w:rPr>
          <w:lang w:val="fr-CA"/>
        </w:rPr>
        <w:t xml:space="preserve"> </w:t>
      </w:r>
    </w:p>
    <w:p w14:paraId="62D3ECD4" w14:textId="77777777" w:rsidR="003A01D2" w:rsidRPr="008A3351" w:rsidRDefault="76907139" w:rsidP="007D3C3F">
      <w:pPr>
        <w:pStyle w:val="Heading3"/>
        <w:rPr>
          <w:lang w:val="fr-CA"/>
        </w:rPr>
      </w:pPr>
      <w:bookmarkStart w:id="47" w:name="_Toc151466322"/>
      <w:r w:rsidRPr="008A3351">
        <w:rPr>
          <w:lang w:val="fr-CA"/>
        </w:rPr>
        <w:t>Aperçu</w:t>
      </w:r>
      <w:bookmarkEnd w:id="47"/>
    </w:p>
    <w:p w14:paraId="77317214" w14:textId="67EB3D3C" w:rsidR="003A01D2" w:rsidRPr="008A3351" w:rsidRDefault="76907139" w:rsidP="217966B4">
      <w:pPr>
        <w:rPr>
          <w:lang w:val="fr-CA"/>
        </w:rPr>
      </w:pPr>
      <w:r w:rsidRPr="008A3351">
        <w:rPr>
          <w:lang w:val="fr-CA"/>
        </w:rPr>
        <w:t>Le Sénat exploite un service de navette qui transporte les gens entre les divers édifices de la Colline du Parlement et des environs. Quatre</w:t>
      </w:r>
      <w:r w:rsidR="00A0312F" w:rsidRPr="008A3351">
        <w:rPr>
          <w:lang w:val="fr-CA"/>
        </w:rPr>
        <w:t xml:space="preserve"> </w:t>
      </w:r>
      <w:r w:rsidRPr="008A3351">
        <w:rPr>
          <w:lang w:val="fr-CA"/>
        </w:rPr>
        <w:t>autobus sont utilisés dans le cadre de ce service.</w:t>
      </w:r>
    </w:p>
    <w:p w14:paraId="3EF26D24" w14:textId="3EE4BEA4" w:rsidR="003A01D2" w:rsidRPr="008A3351" w:rsidRDefault="76907139" w:rsidP="217966B4">
      <w:pPr>
        <w:rPr>
          <w:lang w:val="fr-CA"/>
        </w:rPr>
      </w:pPr>
      <w:r w:rsidRPr="008A3351">
        <w:rPr>
          <w:lang w:val="fr-CA"/>
        </w:rPr>
        <w:t xml:space="preserve">Le nombre de places de stationnement disponibles pour les sénateurs et le personnel à proximité des bâtiments du Sénat est limité. Les permis de stationnement sont attribués et gérés par le Sénat et ce dernier fait tous les efforts raisonnables pour répondre aux </w:t>
      </w:r>
      <w:r w:rsidRPr="008A3351">
        <w:rPr>
          <w:spacing w:val="-2"/>
          <w:lang w:val="fr-CA"/>
        </w:rPr>
        <w:t>besoins de stationnement du personnel du Sénat nécessitant un aménagement approuvé.</w:t>
      </w:r>
    </w:p>
    <w:p w14:paraId="7432A7C1" w14:textId="77777777" w:rsidR="00256ADE" w:rsidRPr="008A3351" w:rsidRDefault="00256ADE" w:rsidP="00256ADE">
      <w:pPr>
        <w:pStyle w:val="Heading3"/>
        <w:rPr>
          <w:sz w:val="24"/>
          <w:szCs w:val="24"/>
          <w:lang w:val="fr-CA"/>
        </w:rPr>
      </w:pPr>
      <w:bookmarkStart w:id="48" w:name="_Toc151466323"/>
      <w:r w:rsidRPr="008A3351">
        <w:rPr>
          <w:lang w:val="fr-CA"/>
        </w:rPr>
        <w:lastRenderedPageBreak/>
        <w:t>Objectifs en matière d’accessibilité atteints ou en cours</w:t>
      </w:r>
      <w:bookmarkEnd w:id="48"/>
      <w:r w:rsidRPr="008A3351">
        <w:rPr>
          <w:lang w:val="fr-CA"/>
        </w:rPr>
        <w:t xml:space="preserve">  </w:t>
      </w:r>
    </w:p>
    <w:p w14:paraId="08EB5B4D" w14:textId="0BDA02ED" w:rsidR="003A01D2" w:rsidRPr="008A3351" w:rsidRDefault="76907139" w:rsidP="00F91640">
      <w:pPr>
        <w:pStyle w:val="Bodynumberedlist"/>
        <w:numPr>
          <w:ilvl w:val="0"/>
          <w:numId w:val="11"/>
        </w:numPr>
        <w:rPr>
          <w:szCs w:val="26"/>
          <w:lang w:val="fr-CA"/>
        </w:rPr>
      </w:pPr>
      <w:r w:rsidRPr="008A3351">
        <w:rPr>
          <w:lang w:val="fr-CA"/>
        </w:rPr>
        <w:t xml:space="preserve">D’ici fin 2023, le Sénat procédera à un examen de son service de navette afin </w:t>
      </w:r>
      <w:r w:rsidR="009D62A2" w:rsidRPr="008A3351">
        <w:rPr>
          <w:lang w:val="fr-CA"/>
        </w:rPr>
        <w:t>d’identifier et de supprimer</w:t>
      </w:r>
      <w:r w:rsidRPr="008A3351">
        <w:rPr>
          <w:lang w:val="fr-CA"/>
        </w:rPr>
        <w:t xml:space="preserve"> tout obstacle à l’accessibilité. </w:t>
      </w:r>
    </w:p>
    <w:p w14:paraId="1740FD96" w14:textId="2BE236BC" w:rsidR="00D20597" w:rsidRPr="008A3351" w:rsidRDefault="1E44C31C" w:rsidP="00F91640">
      <w:pPr>
        <w:pStyle w:val="Bodynumberedlist"/>
        <w:numPr>
          <w:ilvl w:val="1"/>
          <w:numId w:val="11"/>
        </w:numPr>
        <w:rPr>
          <w:szCs w:val="26"/>
          <w:lang w:val="fr-CA"/>
        </w:rPr>
      </w:pPr>
      <w:r w:rsidRPr="008A3351">
        <w:rPr>
          <w:b/>
          <w:lang w:val="fr-CA"/>
        </w:rPr>
        <w:t>État : atteint.</w:t>
      </w:r>
      <w:r w:rsidRPr="008A3351">
        <w:rPr>
          <w:lang w:val="fr-CA"/>
        </w:rPr>
        <w:t xml:space="preserve"> Le Sénat a analysé son parc de navettes et les obstacles suivants ont été décelés : absence de barres d’appui, absence d’annonces visuelles et sonores automatisées des arrêts et absence d’ascenseur dans une </w:t>
      </w:r>
      <w:r w:rsidR="00D470C9" w:rsidRPr="008A3351">
        <w:rPr>
          <w:lang w:val="fr-CA"/>
        </w:rPr>
        <w:t xml:space="preserve">des </w:t>
      </w:r>
      <w:r w:rsidRPr="008A3351">
        <w:rPr>
          <w:lang w:val="fr-CA"/>
        </w:rPr>
        <w:t>navette</w:t>
      </w:r>
      <w:r w:rsidR="00D470C9" w:rsidRPr="008A3351">
        <w:rPr>
          <w:lang w:val="fr-CA"/>
        </w:rPr>
        <w:t>s</w:t>
      </w:r>
      <w:r w:rsidRPr="008A3351">
        <w:rPr>
          <w:lang w:val="fr-CA"/>
        </w:rPr>
        <w:t>. En guise de solution provisoire, les chauffeurs de navette annoncent les arrêts.</w:t>
      </w:r>
    </w:p>
    <w:p w14:paraId="18C51C61" w14:textId="7EF13968" w:rsidR="00D20597" w:rsidRPr="008A3351" w:rsidRDefault="1E44C31C" w:rsidP="00F91640">
      <w:pPr>
        <w:pStyle w:val="Bodynumberedlist"/>
        <w:numPr>
          <w:ilvl w:val="1"/>
          <w:numId w:val="11"/>
        </w:numPr>
        <w:rPr>
          <w:szCs w:val="26"/>
          <w:lang w:val="fr-CA"/>
        </w:rPr>
      </w:pPr>
      <w:r w:rsidRPr="008A3351">
        <w:rPr>
          <w:b/>
          <w:lang w:val="fr-CA"/>
        </w:rPr>
        <w:t>Prochaines étapes :</w:t>
      </w:r>
      <w:r w:rsidRPr="008A3351">
        <w:rPr>
          <w:lang w:val="fr-CA"/>
        </w:rPr>
        <w:t xml:space="preserve"> La navette sans ascenseur </w:t>
      </w:r>
      <w:r w:rsidR="00267631" w:rsidRPr="008A3351">
        <w:rPr>
          <w:lang w:val="fr-CA"/>
        </w:rPr>
        <w:t>est en voie d’</w:t>
      </w:r>
      <w:r w:rsidRPr="008A3351">
        <w:rPr>
          <w:lang w:val="fr-CA"/>
        </w:rPr>
        <w:t xml:space="preserve">être remplacée. Le personnel du Sénat est en train de planifier la recherche d’une solution de remplacement qui inclurait toutes les caractéristiques d’accessibilité requises (p. ex. ascenseur, annonces visuelles et sonores, barres d’appui). </w:t>
      </w:r>
      <w:bookmarkStart w:id="49" w:name="_Hlk149656942"/>
      <w:r w:rsidRPr="008A3351">
        <w:rPr>
          <w:lang w:val="fr-CA"/>
        </w:rPr>
        <w:t>Les plans prévoient la modernisation des trois</w:t>
      </w:r>
      <w:r w:rsidR="00A0312F" w:rsidRPr="008A3351">
        <w:rPr>
          <w:lang w:val="fr-CA"/>
        </w:rPr>
        <w:t xml:space="preserve"> </w:t>
      </w:r>
      <w:r w:rsidRPr="008A3351">
        <w:rPr>
          <w:lang w:val="fr-CA"/>
        </w:rPr>
        <w:t xml:space="preserve">autres navettes afin d’en </w:t>
      </w:r>
      <w:r w:rsidRPr="008A3351">
        <w:rPr>
          <w:spacing w:val="-2"/>
          <w:lang w:val="fr-CA"/>
        </w:rPr>
        <w:t>améliorer les éléments d’accessibilité, jusqu’à leur remplacement éventuel.</w:t>
      </w:r>
      <w:bookmarkEnd w:id="49"/>
    </w:p>
    <w:p w14:paraId="3C44B74F" w14:textId="7C769F8C" w:rsidR="00012E4A" w:rsidRPr="008A3351" w:rsidRDefault="76907139" w:rsidP="00012E4A">
      <w:pPr>
        <w:pStyle w:val="Bodynumberedlist"/>
        <w:rPr>
          <w:lang w:val="fr-CA"/>
        </w:rPr>
      </w:pPr>
      <w:r w:rsidRPr="008A3351">
        <w:rPr>
          <w:spacing w:val="-2"/>
          <w:lang w:val="fr-CA"/>
        </w:rPr>
        <w:t xml:space="preserve">D’ici fin 2023, le Sénat </w:t>
      </w:r>
      <w:r w:rsidR="009D62A2" w:rsidRPr="008A3351">
        <w:rPr>
          <w:spacing w:val="-2"/>
          <w:lang w:val="fr-CA"/>
        </w:rPr>
        <w:t>complètera</w:t>
      </w:r>
      <w:r w:rsidRPr="008A3351">
        <w:rPr>
          <w:spacing w:val="-2"/>
          <w:lang w:val="fr-CA"/>
        </w:rPr>
        <w:t xml:space="preserve"> une mise à jour de la </w:t>
      </w:r>
      <w:r w:rsidRPr="008A3351">
        <w:rPr>
          <w:i/>
          <w:iCs/>
          <w:spacing w:val="-2"/>
          <w:lang w:val="fr-CA"/>
        </w:rPr>
        <w:t>Politique du Sénat relative</w:t>
      </w:r>
      <w:r w:rsidRPr="008A3351">
        <w:rPr>
          <w:i/>
          <w:iCs/>
          <w:lang w:val="fr-CA"/>
        </w:rPr>
        <w:t xml:space="preserve"> au stationnement</w:t>
      </w:r>
      <w:r w:rsidRPr="008A3351">
        <w:rPr>
          <w:lang w:val="fr-CA"/>
        </w:rPr>
        <w:t xml:space="preserve"> afin d’y inclure </w:t>
      </w:r>
      <w:r w:rsidR="009D62A2" w:rsidRPr="008A3351">
        <w:rPr>
          <w:lang w:val="fr-CA"/>
        </w:rPr>
        <w:t>l</w:t>
      </w:r>
      <w:r w:rsidRPr="008A3351">
        <w:rPr>
          <w:lang w:val="fr-CA"/>
        </w:rPr>
        <w:t xml:space="preserve">es pratiques </w:t>
      </w:r>
      <w:r w:rsidR="009D62A2" w:rsidRPr="008A3351">
        <w:rPr>
          <w:lang w:val="fr-CA"/>
        </w:rPr>
        <w:t>d’aménagement</w:t>
      </w:r>
      <w:r w:rsidRPr="008A3351">
        <w:rPr>
          <w:lang w:val="fr-CA"/>
        </w:rPr>
        <w:t xml:space="preserve"> établies et de s’assurer que les places de stationnement sont attribuées conformément aux obligations de la </w:t>
      </w:r>
      <w:r w:rsidRPr="008A3351">
        <w:rPr>
          <w:i/>
          <w:iCs/>
          <w:lang w:val="fr-CA"/>
        </w:rPr>
        <w:t>Loi canadienne sur l’accessibilité</w:t>
      </w:r>
      <w:r w:rsidRPr="008A3351">
        <w:rPr>
          <w:lang w:val="fr-CA"/>
        </w:rPr>
        <w:t xml:space="preserve"> et de la </w:t>
      </w:r>
      <w:r w:rsidRPr="008A3351">
        <w:rPr>
          <w:i/>
          <w:iCs/>
          <w:lang w:val="fr-CA"/>
        </w:rPr>
        <w:t>Loi canadienne sur les droits de la personne</w:t>
      </w:r>
      <w:r w:rsidRPr="008A3351">
        <w:rPr>
          <w:lang w:val="fr-CA"/>
        </w:rPr>
        <w:t>.</w:t>
      </w:r>
    </w:p>
    <w:p w14:paraId="7CEFA0AD" w14:textId="667E8B7C" w:rsidR="00012E4A" w:rsidRPr="008A3351" w:rsidRDefault="1E44C31C" w:rsidP="00F91640">
      <w:pPr>
        <w:pStyle w:val="Bodynumberedlist"/>
        <w:numPr>
          <w:ilvl w:val="1"/>
          <w:numId w:val="8"/>
        </w:numPr>
        <w:rPr>
          <w:lang w:val="fr-CA"/>
        </w:rPr>
      </w:pPr>
      <w:r w:rsidRPr="008A3351">
        <w:rPr>
          <w:b/>
          <w:lang w:val="fr-CA"/>
        </w:rPr>
        <w:t xml:space="preserve">État : atteint. </w:t>
      </w:r>
      <w:r w:rsidRPr="008A3351">
        <w:rPr>
          <w:lang w:val="fr-CA"/>
        </w:rPr>
        <w:t xml:space="preserve">La </w:t>
      </w:r>
      <w:r w:rsidRPr="008A3351">
        <w:rPr>
          <w:i/>
          <w:iCs/>
          <w:lang w:val="fr-CA"/>
        </w:rPr>
        <w:t>Politique du Sénat relative au stationnement</w:t>
      </w:r>
      <w:r w:rsidRPr="008A3351">
        <w:rPr>
          <w:lang w:val="fr-CA"/>
        </w:rPr>
        <w:t xml:space="preserve"> a été mise à jour afin de préciser que les demandes de stationnement sont examinées et satisfaites en tenant compte des mesures d’adaptation médicales ou des besoins en matière d’accessibilité. Les changements reflètent les pratiques déjà en place pour l’attribution des places de stationnement.  </w:t>
      </w:r>
    </w:p>
    <w:p w14:paraId="199835AD" w14:textId="06F1A206" w:rsidR="00D20597" w:rsidRPr="008A3351" w:rsidRDefault="00D749A7" w:rsidP="00F91640">
      <w:pPr>
        <w:pStyle w:val="Bodynumberedlist"/>
        <w:numPr>
          <w:ilvl w:val="1"/>
          <w:numId w:val="8"/>
        </w:numPr>
        <w:rPr>
          <w:lang w:val="fr-CA"/>
        </w:rPr>
      </w:pPr>
      <w:r w:rsidRPr="008A3351">
        <w:rPr>
          <w:b/>
          <w:lang w:val="fr-CA"/>
        </w:rPr>
        <w:t>Prochaines étapes :</w:t>
      </w:r>
      <w:r w:rsidRPr="008A3351">
        <w:rPr>
          <w:lang w:val="fr-CA"/>
        </w:rPr>
        <w:t xml:space="preserve"> </w:t>
      </w:r>
      <w:r w:rsidR="00267631" w:rsidRPr="008A3351">
        <w:rPr>
          <w:lang w:val="fr-CA"/>
        </w:rPr>
        <w:t>N</w:t>
      </w:r>
      <w:r w:rsidRPr="008A3351">
        <w:rPr>
          <w:lang w:val="fr-CA"/>
        </w:rPr>
        <w:t>e s’applique pas.</w:t>
      </w:r>
    </w:p>
    <w:p w14:paraId="776C0605" w14:textId="77777777" w:rsidR="00BF6E3F" w:rsidRPr="008A3351" w:rsidRDefault="00BF6E3F" w:rsidP="007D3C3F">
      <w:pPr>
        <w:pStyle w:val="Heading1"/>
        <w:rPr>
          <w:lang w:val="fr-CA"/>
        </w:rPr>
      </w:pPr>
      <w:bookmarkStart w:id="50" w:name="_Toc149249633"/>
      <w:bookmarkStart w:id="51" w:name="_Toc149249634"/>
      <w:bookmarkStart w:id="52" w:name="_Toc149249635"/>
      <w:bookmarkStart w:id="53" w:name="_Toc151466324"/>
      <w:bookmarkEnd w:id="46"/>
      <w:bookmarkEnd w:id="50"/>
      <w:bookmarkEnd w:id="51"/>
      <w:bookmarkEnd w:id="52"/>
      <w:r w:rsidRPr="008A3351">
        <w:rPr>
          <w:lang w:val="fr-CA"/>
        </w:rPr>
        <w:lastRenderedPageBreak/>
        <w:t>Consultations</w:t>
      </w:r>
      <w:bookmarkEnd w:id="53"/>
    </w:p>
    <w:p w14:paraId="062FD42A" w14:textId="0C547AA1" w:rsidR="00BF6E3F" w:rsidRPr="008A3351" w:rsidRDefault="00BF6E3F" w:rsidP="007D3C3F">
      <w:pPr>
        <w:pStyle w:val="Heading2"/>
        <w:rPr>
          <w:lang w:val="fr-CA"/>
        </w:rPr>
      </w:pPr>
      <w:bookmarkStart w:id="54" w:name="_Toc151466325"/>
      <w:r w:rsidRPr="008A3351">
        <w:rPr>
          <w:lang w:val="fr-CA"/>
        </w:rPr>
        <w:t>Aperçu du processus de consultation</w:t>
      </w:r>
      <w:bookmarkEnd w:id="54"/>
      <w:r w:rsidRPr="008A3351">
        <w:rPr>
          <w:lang w:val="fr-CA"/>
        </w:rPr>
        <w:t xml:space="preserve"> </w:t>
      </w:r>
    </w:p>
    <w:p w14:paraId="74AB971C" w14:textId="7BA45B4E" w:rsidR="003A01D2" w:rsidRPr="008A3351" w:rsidRDefault="00BF6E3F" w:rsidP="00BF6E3F">
      <w:pPr>
        <w:rPr>
          <w:lang w:val="fr-CA"/>
        </w:rPr>
      </w:pPr>
      <w:r w:rsidRPr="008A3351">
        <w:rPr>
          <w:lang w:val="fr-CA"/>
        </w:rPr>
        <w:t>Le Sénat s’engage à représenter la voix des personnes en situation de handicap tant dans de cadre de ses activités législatives que de ses activités quotidiennes. Dans le cadre de cet engagement, le Sénat a continué de consulter les personnes et les groupes dont l’expérience vécue peut éclairer la mise en œuvre de notre plan et d’autres projets importants en matière d’accessibilité.</w:t>
      </w:r>
    </w:p>
    <w:p w14:paraId="226E7749" w14:textId="31A7F772" w:rsidR="002A2967" w:rsidRPr="008A3351" w:rsidRDefault="009F48F4" w:rsidP="002A2967">
      <w:pPr>
        <w:rPr>
          <w:lang w:val="fr-CA"/>
        </w:rPr>
      </w:pPr>
      <w:r w:rsidRPr="008A3351">
        <w:rPr>
          <w:lang w:val="fr-CA"/>
        </w:rPr>
        <w:t xml:space="preserve">Les consultations ont eu lieu à l’automne 2023 et ont inclus trois groupes principaux : les intervenants internes (sénateurs et employés du Sénat), les intervenants externes </w:t>
      </w:r>
      <w:r w:rsidRPr="008A3351">
        <w:rPr>
          <w:spacing w:val="-2"/>
          <w:lang w:val="fr-CA"/>
        </w:rPr>
        <w:t>(visiteurs du Sénat ou participants aux événements du Sénat) et les groupes représentant</w:t>
      </w:r>
      <w:r w:rsidRPr="008A3351">
        <w:rPr>
          <w:lang w:val="fr-CA"/>
        </w:rPr>
        <w:t xml:space="preserve"> les personnes en situation de handicap. Les méthodes de participation utilisées comprenaient des sondages (Microsoft Forms) et des réunions. Au total, 43 personnes </w:t>
      </w:r>
      <w:r w:rsidRPr="008A3351">
        <w:rPr>
          <w:spacing w:val="-2"/>
          <w:lang w:val="fr-CA"/>
        </w:rPr>
        <w:t>ont répondu au sondage et l’agent</w:t>
      </w:r>
      <w:r w:rsidR="00267631" w:rsidRPr="008A3351">
        <w:rPr>
          <w:spacing w:val="-2"/>
          <w:lang w:val="fr-CA"/>
        </w:rPr>
        <w:t>e</w:t>
      </w:r>
      <w:r w:rsidRPr="008A3351">
        <w:rPr>
          <w:spacing w:val="-2"/>
          <w:lang w:val="fr-CA"/>
        </w:rPr>
        <w:t xml:space="preserve"> à l’accessibilité du Sénat a rencontré </w:t>
      </w:r>
      <w:r w:rsidR="00A0312F" w:rsidRPr="008A3351">
        <w:rPr>
          <w:spacing w:val="-2"/>
          <w:lang w:val="fr-CA"/>
        </w:rPr>
        <w:t xml:space="preserve">quatre </w:t>
      </w:r>
      <w:r w:rsidRPr="008A3351">
        <w:rPr>
          <w:spacing w:val="-2"/>
          <w:lang w:val="fr-CA"/>
        </w:rPr>
        <w:t>personnes</w:t>
      </w:r>
      <w:r w:rsidRPr="008A3351">
        <w:rPr>
          <w:lang w:val="fr-CA"/>
        </w:rPr>
        <w:t xml:space="preserve"> dans le cadre de rencontres individuelles. Les sondages étaient également proposés dans d’autres formats (p. ex. documents Word). L’agent</w:t>
      </w:r>
      <w:r w:rsidR="00267631" w:rsidRPr="008A3351">
        <w:rPr>
          <w:lang w:val="fr-CA"/>
        </w:rPr>
        <w:t>e</w:t>
      </w:r>
      <w:r w:rsidRPr="008A3351">
        <w:rPr>
          <w:lang w:val="fr-CA"/>
        </w:rPr>
        <w:t xml:space="preserve"> à l’accessibilité du Sénat a invité les participants à demander des mesures supplémentaires pour éliminer les obstacles à leur participation en communiquant avec l’agent</w:t>
      </w:r>
      <w:r w:rsidR="00267631" w:rsidRPr="008A3351">
        <w:rPr>
          <w:lang w:val="fr-CA"/>
        </w:rPr>
        <w:t>e</w:t>
      </w:r>
      <w:r w:rsidRPr="008A3351">
        <w:rPr>
          <w:lang w:val="fr-CA"/>
        </w:rPr>
        <w:t xml:space="preserve"> à l’accessibilité du Sénat. </w:t>
      </w:r>
    </w:p>
    <w:p w14:paraId="42FEC447" w14:textId="120DDCDA" w:rsidR="007C1E21" w:rsidRPr="008A3351" w:rsidRDefault="009650D0" w:rsidP="003637AC">
      <w:pPr>
        <w:rPr>
          <w:lang w:val="fr-CA"/>
        </w:rPr>
      </w:pPr>
      <w:r w:rsidRPr="008A3351">
        <w:rPr>
          <w:lang w:val="fr-CA"/>
        </w:rPr>
        <w:t xml:space="preserve">Des personnes sourdes, aveugles, sourdes-aveugles et autistes, ainsi que des personnes </w:t>
      </w:r>
      <w:r w:rsidR="00A1613A" w:rsidRPr="008A3351">
        <w:rPr>
          <w:lang w:val="fr-CA"/>
        </w:rPr>
        <w:t>en situation</w:t>
      </w:r>
      <w:r w:rsidRPr="008A3351">
        <w:rPr>
          <w:lang w:val="fr-CA"/>
        </w:rPr>
        <w:t xml:space="preserve"> de handicaps liés à la mobilité, à la santé mentale et à la vision ont participé aux consultations.</w:t>
      </w:r>
    </w:p>
    <w:p w14:paraId="3F073EA4" w14:textId="17889054" w:rsidR="002A2967" w:rsidRPr="008A3351" w:rsidRDefault="002A2967" w:rsidP="002A2967">
      <w:pPr>
        <w:pStyle w:val="Heading2"/>
        <w:rPr>
          <w:lang w:val="fr-CA"/>
        </w:rPr>
      </w:pPr>
      <w:bookmarkStart w:id="55" w:name="_Toc151466326"/>
      <w:r w:rsidRPr="008A3351">
        <w:rPr>
          <w:lang w:val="fr-CA"/>
        </w:rPr>
        <w:t xml:space="preserve">Consultations auprès des sénateurs, des employés du Sénat et </w:t>
      </w:r>
      <w:r w:rsidR="00267631" w:rsidRPr="008A3351">
        <w:rPr>
          <w:lang w:val="fr-CA"/>
        </w:rPr>
        <w:t xml:space="preserve">de </w:t>
      </w:r>
      <w:r w:rsidRPr="008A3351">
        <w:rPr>
          <w:lang w:val="fr-CA"/>
        </w:rPr>
        <w:t>la direction</w:t>
      </w:r>
      <w:bookmarkEnd w:id="55"/>
    </w:p>
    <w:p w14:paraId="66B5AD03" w14:textId="1247AE8C" w:rsidR="002A2967" w:rsidRPr="008A3351" w:rsidRDefault="003864C4" w:rsidP="002A2967">
      <w:pPr>
        <w:rPr>
          <w:lang w:val="fr-CA"/>
        </w:rPr>
      </w:pPr>
      <w:r w:rsidRPr="008A3351">
        <w:rPr>
          <w:lang w:val="fr-CA"/>
        </w:rPr>
        <w:t xml:space="preserve">Les consultations ont commencé par un sondage auprès des sénateurs, des employés du Sénat et de la direction. L’invitation à répondre au sondage a été envoyée en même temps qu’un résumé des progrès réalisés à ce jour en ce qui concerne les objectifs du </w:t>
      </w:r>
      <w:r w:rsidRPr="008A3351">
        <w:rPr>
          <w:lang w:val="fr-CA"/>
        </w:rPr>
        <w:lastRenderedPageBreak/>
        <w:t>plan d’accessibilité et une invitation à prendre rendez-vous avec l’agent</w:t>
      </w:r>
      <w:r w:rsidR="00C74F47" w:rsidRPr="008A3351">
        <w:rPr>
          <w:lang w:val="fr-CA"/>
        </w:rPr>
        <w:t>e</w:t>
      </w:r>
      <w:r w:rsidRPr="008A3351">
        <w:rPr>
          <w:lang w:val="fr-CA"/>
        </w:rPr>
        <w:t xml:space="preserve"> à l’accessibilité du Sénat pour une rencontre individuelle, si les personnes le désiraient. </w:t>
      </w:r>
    </w:p>
    <w:p w14:paraId="73FD7DC7" w14:textId="4496E7DA" w:rsidR="003864C4" w:rsidRPr="008A3351" w:rsidRDefault="003864C4" w:rsidP="003864C4">
      <w:pPr>
        <w:rPr>
          <w:lang w:val="fr-CA"/>
        </w:rPr>
      </w:pPr>
      <w:r w:rsidRPr="008A3351">
        <w:rPr>
          <w:lang w:val="fr-CA"/>
        </w:rPr>
        <w:t>Les sujets du sondage comprenaient des renseignements personnels facultatifs concernant les handicaps identifiés, les obstacles observés, les possibilités d’améliorer l’accessibilité, les domaines de réussite et les progrès réalisés en</w:t>
      </w:r>
      <w:r w:rsidR="00A0312F" w:rsidRPr="008A3351">
        <w:rPr>
          <w:lang w:val="fr-CA"/>
        </w:rPr>
        <w:t> </w:t>
      </w:r>
      <w:r w:rsidRPr="008A3351">
        <w:rPr>
          <w:lang w:val="fr-CA"/>
        </w:rPr>
        <w:t xml:space="preserve">2023 dans le cadre du plan d’accessibilité du Sénat. </w:t>
      </w:r>
    </w:p>
    <w:p w14:paraId="4A6396A1" w14:textId="10AAC93F" w:rsidR="00BF6E3F" w:rsidRPr="008A3351" w:rsidRDefault="00BF6E3F" w:rsidP="007D3C3F">
      <w:pPr>
        <w:pStyle w:val="Heading2"/>
        <w:rPr>
          <w:lang w:val="fr-CA"/>
        </w:rPr>
      </w:pPr>
      <w:bookmarkStart w:id="56" w:name="_Toc151466327"/>
      <w:r w:rsidRPr="008A3351">
        <w:rPr>
          <w:lang w:val="fr-CA"/>
        </w:rPr>
        <w:t>Consultations auprès des personnes ayant participé aux événements du Sénat</w:t>
      </w:r>
      <w:bookmarkEnd w:id="56"/>
      <w:r w:rsidRPr="008A3351">
        <w:rPr>
          <w:lang w:val="fr-CA"/>
        </w:rPr>
        <w:t xml:space="preserve">  </w:t>
      </w:r>
    </w:p>
    <w:p w14:paraId="4CF408C6" w14:textId="2154C0A7" w:rsidR="00EC5E0F" w:rsidRDefault="009650D0" w:rsidP="00BF6E3F">
      <w:pPr>
        <w:rPr>
          <w:lang w:val="fr-CA"/>
        </w:rPr>
      </w:pPr>
      <w:r w:rsidRPr="00585698">
        <w:rPr>
          <w:lang w:val="fr-CA"/>
        </w:rPr>
        <w:t>Des personnes ayant participé à des événements du Sénat, notamment à des réunions de comités, ont également participé aux consultations</w:t>
      </w:r>
      <w:r w:rsidR="00EC5E0F" w:rsidRPr="00585698">
        <w:rPr>
          <w:lang w:val="fr-CA"/>
        </w:rPr>
        <w:t xml:space="preserve">. Ces consultations ont </w:t>
      </w:r>
      <w:r w:rsidR="004D3254" w:rsidRPr="00585698">
        <w:rPr>
          <w:lang w:val="fr-CA"/>
        </w:rPr>
        <w:t xml:space="preserve">impliqué </w:t>
      </w:r>
      <w:r w:rsidR="00EC5E0F" w:rsidRPr="00585698">
        <w:rPr>
          <w:lang w:val="fr-CA"/>
        </w:rPr>
        <w:t>des témoins qui ont comparu devant le Comité sénatorial permanent des affaires sociales, des sciences et de la technologie dans le cadre de son étude du projet de loi C</w:t>
      </w:r>
      <w:r w:rsidR="004D3254" w:rsidRPr="00585698">
        <w:rPr>
          <w:lang w:val="fr-CA"/>
        </w:rPr>
        <w:noBreakHyphen/>
      </w:r>
      <w:r w:rsidR="00EC5E0F" w:rsidRPr="00585698">
        <w:rPr>
          <w:lang w:val="fr-CA"/>
        </w:rPr>
        <w:t xml:space="preserve">22, </w:t>
      </w:r>
      <w:r w:rsidR="00EC5E0F" w:rsidRPr="00585698">
        <w:rPr>
          <w:i/>
          <w:iCs/>
          <w:lang w:val="fr-CA"/>
        </w:rPr>
        <w:t>Loi sur la prestation canadienne pour les personnes handicapées</w:t>
      </w:r>
      <w:r w:rsidR="00EC5E0F" w:rsidRPr="00585698">
        <w:rPr>
          <w:lang w:val="fr-CA"/>
        </w:rPr>
        <w:t xml:space="preserve">. Des mesures </w:t>
      </w:r>
      <w:r w:rsidR="004D3254" w:rsidRPr="00585698">
        <w:rPr>
          <w:lang w:val="fr-CA"/>
        </w:rPr>
        <w:t xml:space="preserve">spéciales </w:t>
      </w:r>
      <w:r w:rsidR="00EC5E0F" w:rsidRPr="00585698">
        <w:rPr>
          <w:lang w:val="fr-CA"/>
        </w:rPr>
        <w:t>d</w:t>
      </w:r>
      <w:r w:rsidR="004D3254" w:rsidRPr="00585698">
        <w:rPr>
          <w:lang w:val="fr-CA"/>
        </w:rPr>
        <w:t>’</w:t>
      </w:r>
      <w:r w:rsidR="00EC5E0F" w:rsidRPr="00585698">
        <w:rPr>
          <w:lang w:val="fr-CA"/>
        </w:rPr>
        <w:t xml:space="preserve">adaptation ont été mises en place </w:t>
      </w:r>
      <w:r w:rsidR="004D3254" w:rsidRPr="00585698">
        <w:rPr>
          <w:lang w:val="fr-CA"/>
        </w:rPr>
        <w:t>afin d’</w:t>
      </w:r>
      <w:r w:rsidR="00EC5E0F" w:rsidRPr="00585698">
        <w:rPr>
          <w:lang w:val="fr-CA"/>
        </w:rPr>
        <w:t xml:space="preserve">éliminer les obstacles </w:t>
      </w:r>
      <w:r w:rsidR="004D3254" w:rsidRPr="00585698">
        <w:rPr>
          <w:lang w:val="fr-CA"/>
        </w:rPr>
        <w:t>pour</w:t>
      </w:r>
      <w:r w:rsidR="00EC5E0F" w:rsidRPr="00585698">
        <w:rPr>
          <w:lang w:val="fr-CA"/>
        </w:rPr>
        <w:t xml:space="preserve"> les témoins qui se sont déclarés en situation de handicap.  L</w:t>
      </w:r>
      <w:r w:rsidR="00FF3DF4" w:rsidRPr="00585698">
        <w:rPr>
          <w:lang w:val="fr-CA"/>
        </w:rPr>
        <w:t>a rétroaction</w:t>
      </w:r>
      <w:r w:rsidR="00EC5E0F" w:rsidRPr="00585698">
        <w:rPr>
          <w:lang w:val="fr-CA"/>
        </w:rPr>
        <w:t xml:space="preserve"> a permis à l’agente à l</w:t>
      </w:r>
      <w:r w:rsidR="004D3254" w:rsidRPr="00585698">
        <w:rPr>
          <w:lang w:val="fr-CA"/>
        </w:rPr>
        <w:t>’</w:t>
      </w:r>
      <w:r w:rsidR="00EC5E0F" w:rsidRPr="00585698">
        <w:rPr>
          <w:lang w:val="fr-CA"/>
        </w:rPr>
        <w:t>accessibilité du Sénat d</w:t>
      </w:r>
      <w:r w:rsidR="00FF3DF4" w:rsidRPr="00585698">
        <w:rPr>
          <w:lang w:val="fr-CA"/>
        </w:rPr>
        <w:t>’</w:t>
      </w:r>
      <w:r w:rsidR="00EC5E0F" w:rsidRPr="00585698">
        <w:rPr>
          <w:lang w:val="fr-CA"/>
        </w:rPr>
        <w:t xml:space="preserve">évaluer </w:t>
      </w:r>
      <w:r w:rsidR="00FF3DF4" w:rsidRPr="00585698">
        <w:rPr>
          <w:lang w:val="fr-CA"/>
        </w:rPr>
        <w:t xml:space="preserve">l’efficacité </w:t>
      </w:r>
      <w:r w:rsidR="00EC5E0F" w:rsidRPr="00585698">
        <w:rPr>
          <w:lang w:val="fr-CA"/>
        </w:rPr>
        <w:t>des mesures d</w:t>
      </w:r>
      <w:r w:rsidR="00FF3DF4" w:rsidRPr="00585698">
        <w:rPr>
          <w:lang w:val="fr-CA"/>
        </w:rPr>
        <w:t>’</w:t>
      </w:r>
      <w:r w:rsidR="00EC5E0F" w:rsidRPr="00585698">
        <w:rPr>
          <w:lang w:val="fr-CA"/>
        </w:rPr>
        <w:t>adaptation et d</w:t>
      </w:r>
      <w:r w:rsidR="00FF3DF4" w:rsidRPr="00585698">
        <w:rPr>
          <w:lang w:val="fr-CA"/>
        </w:rPr>
        <w:t>’</w:t>
      </w:r>
      <w:r w:rsidR="00EC5E0F" w:rsidRPr="00585698">
        <w:rPr>
          <w:lang w:val="fr-CA"/>
        </w:rPr>
        <w:t>identifier les domaines susceptibles d</w:t>
      </w:r>
      <w:r w:rsidR="00FF3DF4" w:rsidRPr="00585698">
        <w:rPr>
          <w:lang w:val="fr-CA"/>
        </w:rPr>
        <w:t>’</w:t>
      </w:r>
      <w:r w:rsidR="00EC5E0F" w:rsidRPr="00585698">
        <w:rPr>
          <w:lang w:val="fr-CA"/>
        </w:rPr>
        <w:t>être améliorés.</w:t>
      </w:r>
    </w:p>
    <w:p w14:paraId="05DE3BF4" w14:textId="045BB323" w:rsidR="00BF285F" w:rsidRPr="008A3351" w:rsidRDefault="009650D0" w:rsidP="00BF6E3F">
      <w:pPr>
        <w:rPr>
          <w:lang w:val="fr-CA"/>
        </w:rPr>
      </w:pPr>
      <w:r w:rsidRPr="008A3351">
        <w:rPr>
          <w:lang w:val="fr-CA"/>
        </w:rPr>
        <w:t>Ces personnes avaient la possibilité de répondre à un sondage ou de rencontrer individuellement l’agent</w:t>
      </w:r>
      <w:r w:rsidR="00C74F47" w:rsidRPr="008A3351">
        <w:rPr>
          <w:lang w:val="fr-CA"/>
        </w:rPr>
        <w:t>e</w:t>
      </w:r>
      <w:r w:rsidRPr="008A3351">
        <w:rPr>
          <w:lang w:val="fr-CA"/>
        </w:rPr>
        <w:t xml:space="preserve"> à l’accessibilité du Sénat. </w:t>
      </w:r>
    </w:p>
    <w:p w14:paraId="4CEEED60" w14:textId="679F4213" w:rsidR="00DF2E9F" w:rsidRPr="008A3351" w:rsidRDefault="003864C4" w:rsidP="00BF6E3F">
      <w:pPr>
        <w:rPr>
          <w:spacing w:val="-2"/>
          <w:lang w:val="fr-CA"/>
        </w:rPr>
      </w:pPr>
      <w:r w:rsidRPr="008A3351">
        <w:rPr>
          <w:lang w:val="fr-CA"/>
        </w:rPr>
        <w:t xml:space="preserve">Les sujets du sondage comprenaient des renseignements facultatifs sur la nature de leurs handicaps, la manière dont le Sénat abordait ou prenait en compte les problèmes </w:t>
      </w:r>
      <w:r w:rsidRPr="008A3351">
        <w:rPr>
          <w:spacing w:val="-2"/>
          <w:lang w:val="fr-CA"/>
        </w:rPr>
        <w:t xml:space="preserve">d’accessibilité, les obstacles observés et les idées sur la manière d’améliorer l’accessibilité. </w:t>
      </w:r>
    </w:p>
    <w:p w14:paraId="083964BE" w14:textId="3659066E" w:rsidR="00DE2B46" w:rsidRPr="008A3351" w:rsidRDefault="53A7CAAD" w:rsidP="00DE2B46">
      <w:pPr>
        <w:rPr>
          <w:lang w:val="fr-CA"/>
        </w:rPr>
      </w:pPr>
      <w:r w:rsidRPr="008A3351">
        <w:rPr>
          <w:lang w:val="fr-CA"/>
        </w:rPr>
        <w:t>Plusieurs personnes ont rencontré l’agent</w:t>
      </w:r>
      <w:r w:rsidR="00C74F47" w:rsidRPr="008A3351">
        <w:rPr>
          <w:lang w:val="fr-CA"/>
        </w:rPr>
        <w:t>e</w:t>
      </w:r>
      <w:r w:rsidRPr="008A3351">
        <w:rPr>
          <w:lang w:val="fr-CA"/>
        </w:rPr>
        <w:t xml:space="preserve"> à l’accessibilité du Sénat pour une discussion individuelle. Ces discussions étaient légèrement structurées afin de conserver la fluidité </w:t>
      </w:r>
      <w:r w:rsidRPr="008A3351">
        <w:rPr>
          <w:spacing w:val="-2"/>
          <w:lang w:val="fr-CA"/>
        </w:rPr>
        <w:t>d’une discussion naturelle et pour s’assurer que les participants se sentent à l’aise.</w:t>
      </w:r>
      <w:r w:rsidR="009C5FFE" w:rsidRPr="008A3351">
        <w:rPr>
          <w:spacing w:val="-2"/>
          <w:lang w:val="fr-CA"/>
        </w:rPr>
        <w:t xml:space="preserve"> </w:t>
      </w:r>
      <w:r w:rsidRPr="008A3351">
        <w:rPr>
          <w:spacing w:val="-2"/>
          <w:lang w:val="fr-CA"/>
        </w:rPr>
        <w:t>Toutes</w:t>
      </w:r>
      <w:r w:rsidRPr="008A3351">
        <w:rPr>
          <w:lang w:val="fr-CA"/>
        </w:rPr>
        <w:t xml:space="preserve"> les réunions ont eu lieu virtuellement sur Microsoft</w:t>
      </w:r>
      <w:r w:rsidR="00A0312F" w:rsidRPr="008A3351">
        <w:rPr>
          <w:lang w:val="fr-CA"/>
        </w:rPr>
        <w:t xml:space="preserve"> </w:t>
      </w:r>
      <w:r w:rsidRPr="008A3351">
        <w:rPr>
          <w:lang w:val="fr-CA"/>
        </w:rPr>
        <w:t>Teams ou Zoom, en fonction des préférences et des exigences en matière d’accessibilité des participants.</w:t>
      </w:r>
    </w:p>
    <w:p w14:paraId="7D2A4179" w14:textId="7825323F" w:rsidR="00BF6E3F" w:rsidRPr="008A3351" w:rsidRDefault="3FC092AC" w:rsidP="007D3C3F">
      <w:pPr>
        <w:pStyle w:val="Heading2"/>
        <w:rPr>
          <w:lang w:val="fr-CA"/>
        </w:rPr>
      </w:pPr>
      <w:bookmarkStart w:id="57" w:name="_Toc151466328"/>
      <w:r w:rsidRPr="008A3351">
        <w:rPr>
          <w:lang w:val="fr-CA"/>
        </w:rPr>
        <w:lastRenderedPageBreak/>
        <w:t>Consultations auprès des groupes d’intervenants en situation de handicap</w:t>
      </w:r>
      <w:bookmarkEnd w:id="57"/>
    </w:p>
    <w:p w14:paraId="78340C78" w14:textId="62A5BF20" w:rsidR="00DE2B46" w:rsidRPr="008A3351" w:rsidRDefault="00045B4E" w:rsidP="217966B4">
      <w:pPr>
        <w:rPr>
          <w:strike/>
          <w:lang w:val="fr-CA"/>
        </w:rPr>
      </w:pPr>
      <w:r w:rsidRPr="008A3351">
        <w:rPr>
          <w:lang w:val="fr-CA"/>
        </w:rPr>
        <w:t xml:space="preserve">Les consultations se sont également appuyées sur les discussions entamées avec les </w:t>
      </w:r>
      <w:r w:rsidR="00AA08C3" w:rsidRPr="008A3351">
        <w:rPr>
          <w:spacing w:val="-2"/>
          <w:lang w:val="fr-CA"/>
        </w:rPr>
        <w:t xml:space="preserve">intervenants auprès des </w:t>
      </w:r>
      <w:r w:rsidRPr="008A3351">
        <w:rPr>
          <w:spacing w:val="-2"/>
          <w:lang w:val="fr-CA"/>
        </w:rPr>
        <w:t>groupes en situation de handicap. L’agent</w:t>
      </w:r>
      <w:r w:rsidR="00AA08C3" w:rsidRPr="008A3351">
        <w:rPr>
          <w:spacing w:val="-2"/>
          <w:lang w:val="fr-CA"/>
        </w:rPr>
        <w:t>e</w:t>
      </w:r>
      <w:r w:rsidRPr="008A3351">
        <w:rPr>
          <w:spacing w:val="-2"/>
          <w:lang w:val="fr-CA"/>
        </w:rPr>
        <w:t xml:space="preserve"> à l’accessibilité du Sénat a élargi</w:t>
      </w:r>
      <w:r w:rsidRPr="008A3351">
        <w:rPr>
          <w:lang w:val="fr-CA"/>
        </w:rPr>
        <w:t xml:space="preserve"> la discussion aux intervenants </w:t>
      </w:r>
      <w:r w:rsidR="00AA08C3" w:rsidRPr="008A3351">
        <w:rPr>
          <w:lang w:val="fr-CA"/>
        </w:rPr>
        <w:t xml:space="preserve">qui représentent ceux </w:t>
      </w:r>
      <w:r w:rsidRPr="008A3351">
        <w:rPr>
          <w:lang w:val="fr-CA"/>
        </w:rPr>
        <w:t xml:space="preserve">dont le handicap n’est pas apparent et les Autochtones en situation de handicap. </w:t>
      </w:r>
    </w:p>
    <w:p w14:paraId="084B3FAB" w14:textId="7DDEF9BC" w:rsidR="00BF6E3F" w:rsidRPr="008A3351" w:rsidRDefault="00045B4E" w:rsidP="00BF6E3F">
      <w:pPr>
        <w:rPr>
          <w:lang w:val="fr-CA"/>
        </w:rPr>
      </w:pPr>
      <w:r w:rsidRPr="008A3351">
        <w:rPr>
          <w:lang w:val="fr-CA"/>
        </w:rPr>
        <w:t>Des réunions virtuelles ont été organisées avec des représentants des groupes suivants :</w:t>
      </w:r>
    </w:p>
    <w:p w14:paraId="49D62D15" w14:textId="0E791891" w:rsidR="00BF6E3F" w:rsidRPr="008A3351" w:rsidRDefault="3FC092AC" w:rsidP="007D3C3F">
      <w:pPr>
        <w:pStyle w:val="Bodybullets"/>
        <w:rPr>
          <w:lang w:val="fr-CA"/>
        </w:rPr>
      </w:pPr>
      <w:bookmarkStart w:id="58" w:name="_Hlk148715279"/>
      <w:r w:rsidRPr="008A3351">
        <w:rPr>
          <w:b/>
          <w:lang w:val="fr-CA"/>
        </w:rPr>
        <w:t>Inclusion Canada</w:t>
      </w:r>
      <w:r w:rsidRPr="008A3351">
        <w:rPr>
          <w:lang w:val="fr-CA"/>
        </w:rPr>
        <w:t xml:space="preserve"> – Inclusion Canada montre la voie à suivre pour bâtir un Canada inclusif pour les personnes ayant une déficience intellectuelle et leurs familles. </w:t>
      </w:r>
    </w:p>
    <w:p w14:paraId="2B430AD7" w14:textId="0455E3A8" w:rsidR="00BF6E3F" w:rsidRPr="008A3351" w:rsidRDefault="3FC092AC" w:rsidP="007D3C3F">
      <w:pPr>
        <w:pStyle w:val="Bodybullets"/>
        <w:rPr>
          <w:lang w:val="fr-CA"/>
        </w:rPr>
      </w:pPr>
      <w:proofErr w:type="spellStart"/>
      <w:r w:rsidRPr="008A3351">
        <w:rPr>
          <w:b/>
          <w:lang w:val="fr-CA"/>
        </w:rPr>
        <w:t>Wavefront</w:t>
      </w:r>
      <w:proofErr w:type="spellEnd"/>
      <w:r w:rsidRPr="008A3351">
        <w:rPr>
          <w:b/>
          <w:lang w:val="fr-CA"/>
        </w:rPr>
        <w:t xml:space="preserve"> Centre for Communication Accessibility</w:t>
      </w:r>
      <w:r w:rsidRPr="008A3351">
        <w:rPr>
          <w:lang w:val="fr-CA"/>
        </w:rPr>
        <w:t xml:space="preserve"> – Le centre </w:t>
      </w:r>
      <w:proofErr w:type="spellStart"/>
      <w:r w:rsidRPr="008A3351">
        <w:rPr>
          <w:lang w:val="fr-CA"/>
        </w:rPr>
        <w:t>Wavefront</w:t>
      </w:r>
      <w:proofErr w:type="spellEnd"/>
      <w:r w:rsidRPr="008A3351">
        <w:rPr>
          <w:lang w:val="fr-CA"/>
        </w:rPr>
        <w:t xml:space="preserve"> est un organisme de bienfaisance enregistré dont l’objectif est de réduire les obstacles à la communication en permettant l’accès et l’inclusion des personnes sourdes et malentendantes. </w:t>
      </w:r>
    </w:p>
    <w:p w14:paraId="6E0B5688" w14:textId="19B67681" w:rsidR="009F48F4" w:rsidRPr="008A3351" w:rsidRDefault="01D7B871" w:rsidP="007D3C3F">
      <w:pPr>
        <w:pStyle w:val="Bodybullets"/>
        <w:rPr>
          <w:lang w:val="fr-CA"/>
        </w:rPr>
      </w:pPr>
      <w:proofErr w:type="spellStart"/>
      <w:r w:rsidRPr="008A3351">
        <w:rPr>
          <w:b/>
          <w:lang w:val="fr-CA"/>
        </w:rPr>
        <w:t>Specialisterne</w:t>
      </w:r>
      <w:proofErr w:type="spellEnd"/>
      <w:r w:rsidRPr="008A3351">
        <w:rPr>
          <w:b/>
          <w:lang w:val="fr-CA"/>
        </w:rPr>
        <w:t xml:space="preserve"> Canada </w:t>
      </w:r>
      <w:r w:rsidRPr="008A3351">
        <w:rPr>
          <w:lang w:val="fr-CA"/>
        </w:rPr>
        <w:t xml:space="preserve">– </w:t>
      </w:r>
      <w:proofErr w:type="spellStart"/>
      <w:r w:rsidRPr="008A3351">
        <w:rPr>
          <w:lang w:val="fr-CA"/>
        </w:rPr>
        <w:t>Specialisterne</w:t>
      </w:r>
      <w:proofErr w:type="spellEnd"/>
      <w:r w:rsidRPr="008A3351">
        <w:rPr>
          <w:lang w:val="fr-CA"/>
        </w:rPr>
        <w:t xml:space="preserve"> Canada est un organisme à but non lucratif qui se spécialise dans la mise en valeur des talents des personnes autistes ou neurodivergentes avec des employeurs.</w:t>
      </w:r>
    </w:p>
    <w:p w14:paraId="0D83412A" w14:textId="501FFC53" w:rsidR="009F48F4" w:rsidRPr="008A3351" w:rsidRDefault="4280204F" w:rsidP="007D3C3F">
      <w:pPr>
        <w:pStyle w:val="Bodybullets"/>
        <w:rPr>
          <w:lang w:val="fr-CA"/>
        </w:rPr>
      </w:pPr>
      <w:proofErr w:type="spellStart"/>
      <w:r w:rsidRPr="008A3351">
        <w:rPr>
          <w:b/>
          <w:lang w:val="fr-CA"/>
        </w:rPr>
        <w:t>Indigenous</w:t>
      </w:r>
      <w:proofErr w:type="spellEnd"/>
      <w:r w:rsidRPr="008A3351">
        <w:rPr>
          <w:b/>
          <w:lang w:val="fr-CA"/>
        </w:rPr>
        <w:t xml:space="preserve"> </w:t>
      </w:r>
      <w:proofErr w:type="spellStart"/>
      <w:r w:rsidRPr="008A3351">
        <w:rPr>
          <w:b/>
          <w:lang w:val="fr-CA"/>
        </w:rPr>
        <w:t>Disability</w:t>
      </w:r>
      <w:proofErr w:type="spellEnd"/>
      <w:r w:rsidRPr="008A3351">
        <w:rPr>
          <w:b/>
          <w:lang w:val="fr-CA"/>
        </w:rPr>
        <w:t xml:space="preserve"> Canada/British Columbia </w:t>
      </w:r>
      <w:proofErr w:type="spellStart"/>
      <w:r w:rsidRPr="008A3351">
        <w:rPr>
          <w:b/>
          <w:lang w:val="fr-CA"/>
        </w:rPr>
        <w:t>Aboriginal</w:t>
      </w:r>
      <w:proofErr w:type="spellEnd"/>
      <w:r w:rsidRPr="008A3351">
        <w:rPr>
          <w:b/>
          <w:lang w:val="fr-CA"/>
        </w:rPr>
        <w:t xml:space="preserve"> Network on </w:t>
      </w:r>
      <w:proofErr w:type="spellStart"/>
      <w:r w:rsidRPr="008A3351">
        <w:rPr>
          <w:b/>
          <w:lang w:val="fr-CA"/>
        </w:rPr>
        <w:t>Disability</w:t>
      </w:r>
      <w:proofErr w:type="spellEnd"/>
      <w:r w:rsidRPr="008A3351">
        <w:rPr>
          <w:b/>
          <w:lang w:val="fr-CA"/>
        </w:rPr>
        <w:t xml:space="preserve"> Society (IDC/BCANDS)</w:t>
      </w:r>
      <w:r w:rsidRPr="008A3351">
        <w:rPr>
          <w:lang w:val="fr-CA"/>
        </w:rPr>
        <w:t> – IDC/BCANDS est une société autochtone nationale à but non lucratif, connue et primée à l’échelle internationale, qui répond aux besoins uniques et diversifiés en matière de handicap des peuples autochtones du Canada.</w:t>
      </w:r>
    </w:p>
    <w:bookmarkEnd w:id="58"/>
    <w:p w14:paraId="460398D2" w14:textId="221C017D" w:rsidR="005561FA" w:rsidRDefault="00BF6E3F" w:rsidP="00BF6E3F">
      <w:pPr>
        <w:rPr>
          <w:lang w:val="fr-CA"/>
        </w:rPr>
      </w:pPr>
      <w:r w:rsidRPr="008A3351">
        <w:rPr>
          <w:lang w:val="fr-CA"/>
        </w:rPr>
        <w:t>Au cours de chacune de ces réunions de consultation, l’agent</w:t>
      </w:r>
      <w:r w:rsidR="000E68BD" w:rsidRPr="008A3351">
        <w:rPr>
          <w:lang w:val="fr-CA"/>
        </w:rPr>
        <w:t>e</w:t>
      </w:r>
      <w:r w:rsidRPr="008A3351">
        <w:rPr>
          <w:lang w:val="fr-CA"/>
        </w:rPr>
        <w:t xml:space="preserve"> à l’accessibilité du Sénat a posé une série de questions standard, mais a laissé la discussion se dérouler le plus naturellement possible pour les personnes qu’</w:t>
      </w:r>
      <w:r w:rsidR="000E68BD" w:rsidRPr="008A3351">
        <w:rPr>
          <w:lang w:val="fr-CA"/>
        </w:rPr>
        <w:t>elle</w:t>
      </w:r>
      <w:r w:rsidRPr="008A3351">
        <w:rPr>
          <w:lang w:val="fr-CA"/>
        </w:rPr>
        <w:t xml:space="preserve"> consultait. </w:t>
      </w:r>
    </w:p>
    <w:p w14:paraId="2771E883" w14:textId="77777777" w:rsidR="005561FA" w:rsidRDefault="005561FA">
      <w:pPr>
        <w:spacing w:before="0" w:after="0" w:line="240" w:lineRule="auto"/>
        <w:rPr>
          <w:lang w:val="fr-CA"/>
        </w:rPr>
      </w:pPr>
      <w:r>
        <w:rPr>
          <w:lang w:val="fr-CA"/>
        </w:rPr>
        <w:br w:type="page"/>
      </w:r>
    </w:p>
    <w:p w14:paraId="5BE39856" w14:textId="2EE558D0" w:rsidR="008A6AA9" w:rsidRPr="008A3351" w:rsidRDefault="00012E4A" w:rsidP="007D3C3F">
      <w:pPr>
        <w:pStyle w:val="Heading2"/>
        <w:rPr>
          <w:lang w:val="fr-CA"/>
        </w:rPr>
      </w:pPr>
      <w:bookmarkStart w:id="59" w:name="_Toc151466329"/>
      <w:r w:rsidRPr="008A3351">
        <w:rPr>
          <w:lang w:val="fr-CA"/>
        </w:rPr>
        <w:lastRenderedPageBreak/>
        <w:t>Synthèse des résultats des consultations</w:t>
      </w:r>
      <w:bookmarkEnd w:id="59"/>
    </w:p>
    <w:p w14:paraId="0A72B7D0" w14:textId="1FB00B75" w:rsidR="003E6886" w:rsidRPr="008A3351" w:rsidRDefault="003E6886" w:rsidP="217966B4">
      <w:pPr>
        <w:rPr>
          <w:lang w:val="fr-CA"/>
        </w:rPr>
      </w:pPr>
      <w:r w:rsidRPr="008A3351">
        <w:rPr>
          <w:lang w:val="fr-CA"/>
        </w:rPr>
        <w:t xml:space="preserve">Les consultations ont mis en évidence certains domaines dans lesquels le Sénat obtient de bons résultats ou fait preuve d’une nette amélioration en matière d’accessibilité. Voici quelques exemples : </w:t>
      </w:r>
    </w:p>
    <w:p w14:paraId="232540C3" w14:textId="5F2C7FD7" w:rsidR="003E6886" w:rsidRPr="008A3351" w:rsidRDefault="003E6886" w:rsidP="00F91640">
      <w:pPr>
        <w:pStyle w:val="ListParagraph"/>
        <w:numPr>
          <w:ilvl w:val="0"/>
          <w:numId w:val="2"/>
        </w:numPr>
        <w:rPr>
          <w:szCs w:val="26"/>
          <w:lang w:val="fr-CA"/>
        </w:rPr>
      </w:pPr>
      <w:r w:rsidRPr="008A3351">
        <w:rPr>
          <w:lang w:val="fr-CA"/>
        </w:rPr>
        <w:t>Sensibilisation interne accrue aux exigences en matière d’accessibilité.</w:t>
      </w:r>
    </w:p>
    <w:p w14:paraId="20E5096B" w14:textId="683512EE" w:rsidR="35AC7D22" w:rsidRPr="008A3351" w:rsidRDefault="35AC7D22" w:rsidP="00F91640">
      <w:pPr>
        <w:pStyle w:val="ListParagraph"/>
        <w:numPr>
          <w:ilvl w:val="0"/>
          <w:numId w:val="2"/>
        </w:numPr>
        <w:rPr>
          <w:szCs w:val="26"/>
          <w:lang w:val="fr-CA"/>
        </w:rPr>
      </w:pPr>
      <w:r w:rsidRPr="008A3351">
        <w:rPr>
          <w:lang w:val="fr-CA"/>
        </w:rPr>
        <w:t>Amélioration des modèles de documents et des outils mis à la disposition des employés pour les aider à éliminer les obstacles.</w:t>
      </w:r>
    </w:p>
    <w:p w14:paraId="26A5E0F9" w14:textId="6C707B0D" w:rsidR="11ECC5AA" w:rsidRPr="008A3351" w:rsidRDefault="11ECC5AA" w:rsidP="00F91640">
      <w:pPr>
        <w:pStyle w:val="ListParagraph"/>
        <w:numPr>
          <w:ilvl w:val="0"/>
          <w:numId w:val="2"/>
        </w:numPr>
        <w:rPr>
          <w:szCs w:val="26"/>
          <w:lang w:val="fr-CA"/>
        </w:rPr>
      </w:pPr>
      <w:r w:rsidRPr="008A3351">
        <w:rPr>
          <w:lang w:val="fr-CA"/>
        </w:rPr>
        <w:t>Amélioration des efforts pour contrôler l’accessibilité des bâtiments et créer des parcours accessibles dans les espaces du Sénat.</w:t>
      </w:r>
    </w:p>
    <w:p w14:paraId="4468515C" w14:textId="5D6F4FA0" w:rsidR="11ECC5AA" w:rsidRPr="008A3351" w:rsidRDefault="11ECC5AA" w:rsidP="00F91640">
      <w:pPr>
        <w:pStyle w:val="ListParagraph"/>
        <w:numPr>
          <w:ilvl w:val="0"/>
          <w:numId w:val="2"/>
        </w:numPr>
        <w:rPr>
          <w:szCs w:val="26"/>
          <w:lang w:val="fr-CA"/>
        </w:rPr>
      </w:pPr>
      <w:r w:rsidRPr="008A3351">
        <w:rPr>
          <w:lang w:val="fr-CA"/>
        </w:rPr>
        <w:t>Mise en œuvre de mesures pour éliminer les obstacles auxquels se heurtent les participants aux activités du Sénat.</w:t>
      </w:r>
    </w:p>
    <w:p w14:paraId="5D06A572" w14:textId="5C76477F" w:rsidR="0B04FCF6" w:rsidRPr="008A3351" w:rsidRDefault="009B36F7" w:rsidP="00F91640">
      <w:pPr>
        <w:pStyle w:val="ListParagraph"/>
        <w:numPr>
          <w:ilvl w:val="0"/>
          <w:numId w:val="2"/>
        </w:numPr>
        <w:rPr>
          <w:szCs w:val="26"/>
          <w:lang w:val="fr-CA"/>
        </w:rPr>
      </w:pPr>
      <w:r w:rsidRPr="008A3351">
        <w:rPr>
          <w:lang w:val="fr-CA"/>
        </w:rPr>
        <w:t xml:space="preserve">Mise en œuvre éventuelle du système de communication par transcription simultanée. </w:t>
      </w:r>
    </w:p>
    <w:p w14:paraId="1BD5D13D" w14:textId="02A5F89D" w:rsidR="2504F79A" w:rsidRPr="008A3351" w:rsidRDefault="2504F79A" w:rsidP="00F91640">
      <w:pPr>
        <w:pStyle w:val="ListParagraph"/>
        <w:numPr>
          <w:ilvl w:val="0"/>
          <w:numId w:val="2"/>
        </w:numPr>
        <w:rPr>
          <w:szCs w:val="26"/>
          <w:lang w:val="fr-CA"/>
        </w:rPr>
      </w:pPr>
      <w:r w:rsidRPr="008A3351">
        <w:rPr>
          <w:lang w:val="fr-CA"/>
        </w:rPr>
        <w:t>Augmentation de la possibilité de travailler à distance.</w:t>
      </w:r>
    </w:p>
    <w:p w14:paraId="43182DAC" w14:textId="577CFB38" w:rsidR="0B609BF5" w:rsidRPr="008A3351" w:rsidRDefault="0B609BF5" w:rsidP="217966B4">
      <w:pPr>
        <w:rPr>
          <w:lang w:val="fr-CA"/>
        </w:rPr>
      </w:pPr>
      <w:r w:rsidRPr="008A3351">
        <w:rPr>
          <w:lang w:val="fr-CA"/>
        </w:rPr>
        <w:t xml:space="preserve">Bien que des progrès aient été accomplis, les consultations ont également donné un aperçu des domaines dans lesquels le Sénat devra poursuivre ses efforts pour éliminer tous les obstacles, y compris : </w:t>
      </w:r>
    </w:p>
    <w:p w14:paraId="443338D3" w14:textId="7BF76DC2" w:rsidR="04576A33" w:rsidRPr="008A3351" w:rsidRDefault="00804F77" w:rsidP="00F91640">
      <w:pPr>
        <w:pStyle w:val="ListParagraph"/>
        <w:numPr>
          <w:ilvl w:val="0"/>
          <w:numId w:val="1"/>
        </w:numPr>
        <w:rPr>
          <w:szCs w:val="26"/>
          <w:lang w:val="fr-CA"/>
        </w:rPr>
      </w:pPr>
      <w:r w:rsidRPr="008A3351">
        <w:rPr>
          <w:lang w:val="fr-CA"/>
        </w:rPr>
        <w:t xml:space="preserve">Éliminer les obstacles persistants dans l’environnement bâti, tels que </w:t>
      </w:r>
      <w:bookmarkStart w:id="60" w:name="_Hlk149244006"/>
      <w:r w:rsidRPr="008A3351">
        <w:rPr>
          <w:lang w:val="fr-CA"/>
        </w:rPr>
        <w:t xml:space="preserve">les boutons d’accessibilité cassés ou manquants, les portes lourdes et les obstacles temporaires (p. ex. les clôtures de chantier). </w:t>
      </w:r>
      <w:bookmarkEnd w:id="60"/>
    </w:p>
    <w:p w14:paraId="2B455059" w14:textId="0FE855F3" w:rsidR="3E3F03B6" w:rsidRPr="008A3351" w:rsidRDefault="00804F77" w:rsidP="00F91640">
      <w:pPr>
        <w:pStyle w:val="ListParagraph"/>
        <w:numPr>
          <w:ilvl w:val="0"/>
          <w:numId w:val="1"/>
        </w:numPr>
        <w:rPr>
          <w:szCs w:val="26"/>
          <w:lang w:val="fr-CA"/>
        </w:rPr>
      </w:pPr>
      <w:r w:rsidRPr="008A3351">
        <w:rPr>
          <w:lang w:val="fr-CA"/>
        </w:rPr>
        <w:t>Accro</w:t>
      </w:r>
      <w:r w:rsidR="00195C2E" w:rsidRPr="008A3351">
        <w:rPr>
          <w:lang w:val="fr-CA"/>
        </w:rPr>
        <w:t>i</w:t>
      </w:r>
      <w:r w:rsidRPr="008A3351">
        <w:rPr>
          <w:lang w:val="fr-CA"/>
        </w:rPr>
        <w:t>tre la sensibilisation au handicap en faisant entendre la voix des personnes en situation de handicap et en fournissant des informations sur le capacitisme, les handicaps non apparents (p. ex.</w:t>
      </w:r>
      <w:r w:rsidR="007833BA" w:rsidRPr="008A3351">
        <w:rPr>
          <w:lang w:val="fr-CA"/>
        </w:rPr>
        <w:t>,</w:t>
      </w:r>
      <w:r w:rsidRPr="008A3351">
        <w:rPr>
          <w:lang w:val="fr-CA"/>
        </w:rPr>
        <w:t xml:space="preserve"> troubles de santé mentale) et les pratiques exemplaires en matière de service à la clientèle. </w:t>
      </w:r>
    </w:p>
    <w:p w14:paraId="37279977" w14:textId="3E720A24" w:rsidR="00FD40AC" w:rsidRPr="008A3351" w:rsidRDefault="00804F77" w:rsidP="00F91640">
      <w:pPr>
        <w:pStyle w:val="ListParagraph"/>
        <w:numPr>
          <w:ilvl w:val="0"/>
          <w:numId w:val="1"/>
        </w:numPr>
        <w:rPr>
          <w:szCs w:val="26"/>
          <w:lang w:val="fr-CA"/>
        </w:rPr>
      </w:pPr>
      <w:r w:rsidRPr="008A3351">
        <w:rPr>
          <w:lang w:val="fr-CA"/>
        </w:rPr>
        <w:t xml:space="preserve">Améliorer la communication sur les types de mesures d’adaptation, les services d’accessibilité et les technologies offertes pour les employés, les sénateurs, les témoins devant un comité et les visiteurs du Sénat. </w:t>
      </w:r>
    </w:p>
    <w:p w14:paraId="29B91317" w14:textId="3BFE770D" w:rsidR="2A9E6172" w:rsidRPr="008A3351" w:rsidRDefault="2A9E6172" w:rsidP="00F91640">
      <w:pPr>
        <w:pStyle w:val="ListParagraph"/>
        <w:numPr>
          <w:ilvl w:val="0"/>
          <w:numId w:val="1"/>
        </w:numPr>
        <w:rPr>
          <w:szCs w:val="26"/>
          <w:lang w:val="fr-CA"/>
        </w:rPr>
      </w:pPr>
      <w:r w:rsidRPr="008A3351">
        <w:rPr>
          <w:lang w:val="fr-CA"/>
        </w:rPr>
        <w:t xml:space="preserve">Fournir à l’avance aux témoins devant un comité et aux visiteurs des informations plus détaillées sur les procédures du Sénat, la disposition des salles et l’ordre du </w:t>
      </w:r>
      <w:r w:rsidRPr="008A3351">
        <w:rPr>
          <w:lang w:val="fr-CA"/>
        </w:rPr>
        <w:lastRenderedPageBreak/>
        <w:t xml:space="preserve">jour, afin qu’ils puissent prévoir des obstacles ou des problèmes comme l’endroit où les interprètes se tiendront. </w:t>
      </w:r>
    </w:p>
    <w:p w14:paraId="6F0B641C" w14:textId="402D91DB" w:rsidR="1279231E" w:rsidRPr="008A3351" w:rsidRDefault="00153832" w:rsidP="00F91640">
      <w:pPr>
        <w:pStyle w:val="ListParagraph"/>
        <w:numPr>
          <w:ilvl w:val="0"/>
          <w:numId w:val="1"/>
        </w:numPr>
        <w:rPr>
          <w:szCs w:val="26"/>
          <w:lang w:val="fr-CA"/>
        </w:rPr>
      </w:pPr>
      <w:r w:rsidRPr="008A3351">
        <w:rPr>
          <w:lang w:val="fr-CA"/>
        </w:rPr>
        <w:t>Combler les lacunes dans les processus d’embauche et d’entretien, ainsi que dans le processus en matière de mesure d’adaptation du lieu de travail.</w:t>
      </w:r>
    </w:p>
    <w:p w14:paraId="4E6B76BB" w14:textId="1AEF89D5" w:rsidR="04A6AB62" w:rsidRPr="008A3351" w:rsidRDefault="04A6AB62" w:rsidP="00F91640">
      <w:pPr>
        <w:pStyle w:val="ListParagraph"/>
        <w:numPr>
          <w:ilvl w:val="0"/>
          <w:numId w:val="1"/>
        </w:numPr>
        <w:rPr>
          <w:szCs w:val="26"/>
          <w:lang w:val="fr-CA"/>
        </w:rPr>
      </w:pPr>
      <w:r w:rsidRPr="008A3351">
        <w:rPr>
          <w:lang w:val="fr-CA"/>
        </w:rPr>
        <w:t>Veiller à ce que le Sénat demande systématiquement aux visiteurs, aux témoins devant un comité, aux invités, etc., de lui faire part de leurs commentaires en matière d’accessibilité.</w:t>
      </w:r>
    </w:p>
    <w:p w14:paraId="1A71AAD4" w14:textId="5B1C1B41" w:rsidR="00804F77" w:rsidRPr="008A3351" w:rsidRDefault="00153832" w:rsidP="00F91640">
      <w:pPr>
        <w:pStyle w:val="ListParagraph"/>
        <w:numPr>
          <w:ilvl w:val="0"/>
          <w:numId w:val="1"/>
        </w:numPr>
        <w:rPr>
          <w:lang w:val="fr-CA"/>
        </w:rPr>
      </w:pPr>
      <w:r w:rsidRPr="008A3351">
        <w:rPr>
          <w:lang w:val="fr-CA"/>
        </w:rPr>
        <w:t>Fournir des alternatives mains libres aux dispositifs d’écoute dans la Chambre du Sénat afin que les interprètes en langue des signes puissent utiliser leurs deux</w:t>
      </w:r>
      <w:r w:rsidR="00944D24" w:rsidRPr="008A3351">
        <w:rPr>
          <w:lang w:val="fr-CA"/>
        </w:rPr>
        <w:t xml:space="preserve"> </w:t>
      </w:r>
      <w:r w:rsidRPr="008A3351">
        <w:rPr>
          <w:lang w:val="fr-CA"/>
        </w:rPr>
        <w:t xml:space="preserve">mains lorsqu’ils interprètent les débats pour les visiteurs dans les tribunes. </w:t>
      </w:r>
    </w:p>
    <w:p w14:paraId="6463BDD2" w14:textId="5AB0255F" w:rsidR="00153832" w:rsidRPr="008A3351" w:rsidRDefault="00153832" w:rsidP="00A10601">
      <w:pPr>
        <w:rPr>
          <w:szCs w:val="26"/>
          <w:lang w:val="fr-CA"/>
        </w:rPr>
      </w:pPr>
      <w:r w:rsidRPr="008A3351">
        <w:rPr>
          <w:spacing w:val="-2"/>
          <w:lang w:val="fr-CA"/>
        </w:rPr>
        <w:t>Certains de ces commentaires ont contribué à la réalisation des objectifs de cette année</w:t>
      </w:r>
      <w:r w:rsidRPr="008A3351">
        <w:rPr>
          <w:lang w:val="fr-CA"/>
        </w:rPr>
        <w:t>, comme l’élaboration des lignes directrices pour l’organisation d’événements et la mise à jour des listes de contrôle pour les inspections. D’autres commentaires contribueront à orienter le travail du Sénat sur les objectifs à atteindre en</w:t>
      </w:r>
      <w:r w:rsidR="00944D24" w:rsidRPr="008A3351">
        <w:rPr>
          <w:lang w:val="fr-CA"/>
        </w:rPr>
        <w:t> </w:t>
      </w:r>
      <w:r w:rsidRPr="008A3351">
        <w:rPr>
          <w:lang w:val="fr-CA"/>
        </w:rPr>
        <w:t xml:space="preserve">2024 et 2025, y compris la formation en </w:t>
      </w:r>
      <w:r w:rsidR="00230B5D" w:rsidRPr="008A3351">
        <w:rPr>
          <w:lang w:val="fr-CA"/>
        </w:rPr>
        <w:t>matière</w:t>
      </w:r>
      <w:r w:rsidRPr="008A3351">
        <w:rPr>
          <w:lang w:val="fr-CA"/>
        </w:rPr>
        <w:t xml:space="preserve"> de sensibilisation, la formation du personnel qui planifie des événements ou préside des réunions, une évaluation des obstacles dans les procédures parlementaires, des explications en langage clair des documents de la </w:t>
      </w:r>
      <w:r w:rsidR="00A12F98" w:rsidRPr="008A3351">
        <w:rPr>
          <w:lang w:val="fr-CA"/>
        </w:rPr>
        <w:t>C</w:t>
      </w:r>
      <w:r w:rsidRPr="008A3351">
        <w:rPr>
          <w:lang w:val="fr-CA"/>
        </w:rPr>
        <w:t xml:space="preserve">hambre et des comités, et un examen des politiques et des processus en matière de mesures d’adaptation. </w:t>
      </w:r>
    </w:p>
    <w:p w14:paraId="260301DF" w14:textId="764383D8" w:rsidR="71BDE77D" w:rsidRPr="008A3351" w:rsidRDefault="00045B4E" w:rsidP="217966B4">
      <w:pPr>
        <w:rPr>
          <w:lang w:val="fr-CA"/>
        </w:rPr>
      </w:pPr>
      <w:r w:rsidRPr="008A3351">
        <w:rPr>
          <w:lang w:val="fr-CA"/>
        </w:rPr>
        <w:t xml:space="preserve">Les consultations ont également fait ressortir des thèmes à prendre en considération à l’avenir, notamment l’utilisation de l’approvisionnement pour favoriser le changement, l’ajout d’un numéro de téléphone dédié aux services de relais </w:t>
      </w:r>
      <w:proofErr w:type="gramStart"/>
      <w:r w:rsidR="007833BA" w:rsidRPr="008A3351">
        <w:rPr>
          <w:lang w:val="fr-CA"/>
        </w:rPr>
        <w:t>vidéos</w:t>
      </w:r>
      <w:proofErr w:type="gramEnd"/>
      <w:r w:rsidRPr="008A3351">
        <w:rPr>
          <w:lang w:val="fr-CA"/>
        </w:rPr>
        <w:t xml:space="preserve">, la création d’un conseil consultatif et l’extension des informations sur les efforts déployés par le Sénat en matière d’accessibilité aux </w:t>
      </w:r>
      <w:r w:rsidR="008C64D9" w:rsidRPr="008A3351">
        <w:rPr>
          <w:lang w:val="fr-CA"/>
        </w:rPr>
        <w:t xml:space="preserve">communautés </w:t>
      </w:r>
      <w:r w:rsidRPr="008A3351">
        <w:rPr>
          <w:lang w:val="fr-CA"/>
        </w:rPr>
        <w:t>des Premières Nations.</w:t>
      </w:r>
    </w:p>
    <w:p w14:paraId="5C5959D5" w14:textId="63EA7997" w:rsidR="00157D8E" w:rsidRPr="008A3351" w:rsidRDefault="00157D8E" w:rsidP="00157D8E">
      <w:pPr>
        <w:rPr>
          <w:lang w:val="fr-CA"/>
        </w:rPr>
      </w:pPr>
      <w:r w:rsidRPr="008A3351">
        <w:rPr>
          <w:lang w:val="fr-CA"/>
        </w:rPr>
        <w:t>Le Sénat reconna</w:t>
      </w:r>
      <w:r w:rsidR="008C64D9" w:rsidRPr="008A3351">
        <w:rPr>
          <w:lang w:val="fr-CA"/>
        </w:rPr>
        <w:t>i</w:t>
      </w:r>
      <w:r w:rsidRPr="008A3351">
        <w:rPr>
          <w:lang w:val="fr-CA"/>
        </w:rPr>
        <w:t xml:space="preserve">t que les discussions doivent être permanentes, et s’engage à établir des relations de confiance avec les personnes en situation de handicap afin de favoriser des consultations efficaces à l’avenir. </w:t>
      </w:r>
    </w:p>
    <w:p w14:paraId="3DB59465" w14:textId="2277A8BB" w:rsidR="00C95758" w:rsidRPr="008A3351" w:rsidRDefault="00C95758" w:rsidP="007D3C3F">
      <w:pPr>
        <w:pStyle w:val="Heading1"/>
        <w:rPr>
          <w:lang w:val="fr-CA"/>
        </w:rPr>
      </w:pPr>
      <w:bookmarkStart w:id="61" w:name="_Toc149249642"/>
      <w:bookmarkStart w:id="62" w:name="_Toc149249643"/>
      <w:bookmarkStart w:id="63" w:name="_Toc149249644"/>
      <w:bookmarkStart w:id="64" w:name="_Toc149249645"/>
      <w:bookmarkStart w:id="65" w:name="_Toc149249646"/>
      <w:bookmarkStart w:id="66" w:name="_Toc149249647"/>
      <w:bookmarkStart w:id="67" w:name="_Toc149249648"/>
      <w:bookmarkStart w:id="68" w:name="_Toc149249649"/>
      <w:bookmarkStart w:id="69" w:name="_Toc149249650"/>
      <w:bookmarkStart w:id="70" w:name="_Toc149249651"/>
      <w:bookmarkStart w:id="71" w:name="_Toc149249652"/>
      <w:bookmarkStart w:id="72" w:name="_Toc149249653"/>
      <w:bookmarkStart w:id="73" w:name="_Toc149249654"/>
      <w:bookmarkStart w:id="74" w:name="_Toc149249655"/>
      <w:bookmarkStart w:id="75" w:name="_Toc149249656"/>
      <w:bookmarkStart w:id="76" w:name="_Toc149249657"/>
      <w:bookmarkStart w:id="77" w:name="_Toc149249658"/>
      <w:bookmarkStart w:id="78" w:name="_Toc15146633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Pr="008A3351">
        <w:rPr>
          <w:lang w:val="fr-CA"/>
        </w:rPr>
        <w:lastRenderedPageBreak/>
        <w:t>Rétroactions</w:t>
      </w:r>
      <w:bookmarkEnd w:id="78"/>
    </w:p>
    <w:p w14:paraId="6390CE85" w14:textId="40426BDA" w:rsidR="00C95758" w:rsidRPr="008A3351" w:rsidRDefault="00C95758" w:rsidP="007D3C3F">
      <w:pPr>
        <w:pStyle w:val="Heading2"/>
        <w:rPr>
          <w:lang w:val="fr-CA"/>
        </w:rPr>
      </w:pPr>
      <w:bookmarkStart w:id="79" w:name="_Toc151466331"/>
      <w:r w:rsidRPr="008A3351">
        <w:rPr>
          <w:lang w:val="fr-CA"/>
        </w:rPr>
        <w:t>Statistiques sur les rétroactions</w:t>
      </w:r>
      <w:bookmarkEnd w:id="79"/>
    </w:p>
    <w:p w14:paraId="230FEF0D" w14:textId="4D592581" w:rsidR="003F7536" w:rsidRPr="008A3351" w:rsidRDefault="67F31C77" w:rsidP="00BB2907">
      <w:pPr>
        <w:rPr>
          <w:lang w:val="fr-CA"/>
        </w:rPr>
      </w:pPr>
      <w:r w:rsidRPr="008A3351">
        <w:rPr>
          <w:lang w:val="fr-CA"/>
        </w:rPr>
        <w:t>Depuis la publication du plan d’accessibilité du Sénat, l’agent</w:t>
      </w:r>
      <w:r w:rsidR="008C64D9" w:rsidRPr="008A3351">
        <w:rPr>
          <w:lang w:val="fr-CA"/>
        </w:rPr>
        <w:t>e</w:t>
      </w:r>
      <w:r w:rsidRPr="008A3351">
        <w:rPr>
          <w:lang w:val="fr-CA"/>
        </w:rPr>
        <w:t xml:space="preserve"> à l’accessibilité du Sénat a reçu des rétroactions et y a répondu à dix</w:t>
      </w:r>
      <w:r w:rsidR="00944D24" w:rsidRPr="008A3351">
        <w:rPr>
          <w:lang w:val="fr-CA"/>
        </w:rPr>
        <w:t xml:space="preserve"> </w:t>
      </w:r>
      <w:r w:rsidRPr="008A3351">
        <w:rPr>
          <w:lang w:val="fr-CA"/>
        </w:rPr>
        <w:t xml:space="preserve">reprises. La plupart des rétroactions ont été reçues à l’adresse électronique </w:t>
      </w:r>
      <w:hyperlink r:id="rId25">
        <w:r w:rsidRPr="008A3351">
          <w:rPr>
            <w:rStyle w:val="Hyperlink"/>
            <w:lang w:val="fr-CA"/>
          </w:rPr>
          <w:t>accessible@sen.parl.gc.ca</w:t>
        </w:r>
      </w:hyperlink>
      <w:r w:rsidRPr="008A3351">
        <w:rPr>
          <w:lang w:val="fr-CA"/>
        </w:rPr>
        <w:t xml:space="preserve">. Des rétroactions ont </w:t>
      </w:r>
      <w:r w:rsidRPr="008A3351">
        <w:rPr>
          <w:spacing w:val="-2"/>
          <w:lang w:val="fr-CA"/>
        </w:rPr>
        <w:t>également été reçues par téléphone et formulaires de rétroaction. Parmi les rétroactions</w:t>
      </w:r>
      <w:r w:rsidRPr="008A3351">
        <w:rPr>
          <w:lang w:val="fr-CA"/>
        </w:rPr>
        <w:t xml:space="preserve"> reçues : </w:t>
      </w:r>
    </w:p>
    <w:p w14:paraId="3480FD86" w14:textId="4BD28B22" w:rsidR="003F7536" w:rsidRPr="008A3351" w:rsidRDefault="67F31C77" w:rsidP="00F91640">
      <w:pPr>
        <w:pStyle w:val="ListParagraph"/>
        <w:numPr>
          <w:ilvl w:val="0"/>
          <w:numId w:val="16"/>
        </w:numPr>
        <w:rPr>
          <w:lang w:val="fr-CA"/>
        </w:rPr>
      </w:pPr>
      <w:r w:rsidRPr="008A3351">
        <w:rPr>
          <w:lang w:val="fr-CA"/>
        </w:rPr>
        <w:t>60 % provenaient de sénateurs ou de membres du personnel du Sénat;</w:t>
      </w:r>
    </w:p>
    <w:p w14:paraId="7B210344" w14:textId="75D50A45" w:rsidR="00463B88" w:rsidRPr="008A3351" w:rsidRDefault="00463B88" w:rsidP="00F91640">
      <w:pPr>
        <w:pStyle w:val="ListParagraph"/>
        <w:numPr>
          <w:ilvl w:val="0"/>
          <w:numId w:val="16"/>
        </w:numPr>
        <w:rPr>
          <w:lang w:val="fr-CA"/>
        </w:rPr>
      </w:pPr>
      <w:r w:rsidRPr="008A3351">
        <w:rPr>
          <w:lang w:val="fr-CA"/>
        </w:rPr>
        <w:t>40 % étaient lié</w:t>
      </w:r>
      <w:r w:rsidR="008C64D9" w:rsidRPr="008A3351">
        <w:rPr>
          <w:lang w:val="fr-CA"/>
        </w:rPr>
        <w:t>e</w:t>
      </w:r>
      <w:r w:rsidRPr="008A3351">
        <w:rPr>
          <w:lang w:val="fr-CA"/>
        </w:rPr>
        <w:t>s aux obstacles rencontrés au Sénat;</w:t>
      </w:r>
    </w:p>
    <w:p w14:paraId="46F266D8" w14:textId="64C131D3" w:rsidR="00463B88" w:rsidRPr="008A3351" w:rsidRDefault="00711C34" w:rsidP="00F91640">
      <w:pPr>
        <w:pStyle w:val="ListParagraph"/>
        <w:numPr>
          <w:ilvl w:val="0"/>
          <w:numId w:val="16"/>
        </w:numPr>
        <w:rPr>
          <w:lang w:val="fr-CA"/>
        </w:rPr>
      </w:pPr>
      <w:r w:rsidRPr="008A3351">
        <w:rPr>
          <w:lang w:val="fr-CA"/>
        </w:rPr>
        <w:t>40 % étaient lié</w:t>
      </w:r>
      <w:r w:rsidR="008C64D9" w:rsidRPr="008A3351">
        <w:rPr>
          <w:lang w:val="fr-CA"/>
        </w:rPr>
        <w:t>e</w:t>
      </w:r>
      <w:r w:rsidRPr="008A3351">
        <w:rPr>
          <w:lang w:val="fr-CA"/>
        </w:rPr>
        <w:t xml:space="preserve">s à la mise en œuvre du plan; </w:t>
      </w:r>
    </w:p>
    <w:p w14:paraId="4CEEDC5D" w14:textId="65E83E60" w:rsidR="00711C34" w:rsidRPr="008A3351" w:rsidRDefault="52EBAA17" w:rsidP="00F91640">
      <w:pPr>
        <w:pStyle w:val="ListParagraph"/>
        <w:numPr>
          <w:ilvl w:val="0"/>
          <w:numId w:val="16"/>
        </w:numPr>
        <w:rPr>
          <w:lang w:val="fr-CA"/>
        </w:rPr>
      </w:pPr>
      <w:r w:rsidRPr="008A3351">
        <w:rPr>
          <w:lang w:val="fr-CA"/>
        </w:rPr>
        <w:t>20 % proposaient des idées de nouvelles mesures pour améliorer l’accessibilité;</w:t>
      </w:r>
    </w:p>
    <w:p w14:paraId="19ADC68A" w14:textId="4D88C258" w:rsidR="00A10869" w:rsidRPr="008A3351" w:rsidRDefault="00A10869" w:rsidP="00F91640">
      <w:pPr>
        <w:pStyle w:val="ListParagraph"/>
        <w:numPr>
          <w:ilvl w:val="0"/>
          <w:numId w:val="16"/>
        </w:numPr>
        <w:rPr>
          <w:lang w:val="fr-CA"/>
        </w:rPr>
      </w:pPr>
      <w:proofErr w:type="gramStart"/>
      <w:r w:rsidRPr="008A3351">
        <w:rPr>
          <w:lang w:val="fr-CA"/>
        </w:rPr>
        <w:t>des</w:t>
      </w:r>
      <w:proofErr w:type="gramEnd"/>
      <w:r w:rsidRPr="008A3351">
        <w:rPr>
          <w:lang w:val="fr-CA"/>
        </w:rPr>
        <w:t xml:space="preserve"> rétroactions concernaient l’environnement bâti, l’emploi, les technologies de l’information et des communications (TIC) et les communications (autres que les TIC).</w:t>
      </w:r>
    </w:p>
    <w:p w14:paraId="25A548B5" w14:textId="2D22E5D2" w:rsidR="007C1E21" w:rsidRPr="008A3351" w:rsidRDefault="00CE2038" w:rsidP="004C0EEC">
      <w:pPr>
        <w:rPr>
          <w:lang w:val="fr-CA"/>
        </w:rPr>
      </w:pPr>
      <w:bookmarkStart w:id="80" w:name="_Hlk148814385"/>
      <w:r w:rsidRPr="008A3351">
        <w:rPr>
          <w:lang w:val="fr-CA"/>
        </w:rPr>
        <w:t>Des mesures de suivi ont été achevées, certaines sont en cours et d’autres ont été confiées à d’autres organisations ou administrations dans les cas où la rétroaction ne relève pas du domaine de compétence du Sénat. Un résumé des rétroactions et des mesures prises à ce jour est présenté ci-dessous.</w:t>
      </w:r>
    </w:p>
    <w:p w14:paraId="20B2FE41" w14:textId="77777777" w:rsidR="00811FBB" w:rsidRPr="008A3351" w:rsidRDefault="00811FBB" w:rsidP="00811FBB">
      <w:pPr>
        <w:pStyle w:val="Heading2"/>
        <w:rPr>
          <w:lang w:val="fr-CA"/>
        </w:rPr>
      </w:pPr>
      <w:bookmarkStart w:id="81" w:name="_Toc151466332"/>
      <w:bookmarkEnd w:id="80"/>
      <w:r w:rsidRPr="008A3351">
        <w:rPr>
          <w:lang w:val="fr-CA"/>
        </w:rPr>
        <w:t>Rétroactions relatives aux obstacles</w:t>
      </w:r>
      <w:bookmarkEnd w:id="81"/>
    </w:p>
    <w:p w14:paraId="1FC128D8" w14:textId="41EBE699" w:rsidR="00811FBB" w:rsidRPr="008A3351" w:rsidRDefault="00811FBB" w:rsidP="00F91640">
      <w:pPr>
        <w:pStyle w:val="ListParagraph"/>
        <w:numPr>
          <w:ilvl w:val="0"/>
          <w:numId w:val="17"/>
        </w:numPr>
        <w:rPr>
          <w:lang w:val="fr-CA"/>
        </w:rPr>
      </w:pPr>
      <w:r w:rsidRPr="008A3351">
        <w:rPr>
          <w:lang w:val="fr-CA"/>
        </w:rPr>
        <w:t xml:space="preserve">Certains problèmes de formatage des sites Web interne et externe du Sénat ont été signalés comme des problèmes possibles pour les lecteurs d’écran. </w:t>
      </w:r>
    </w:p>
    <w:p w14:paraId="5048991F" w14:textId="77777777" w:rsidR="00811FBB" w:rsidRPr="008A3351" w:rsidRDefault="00811FBB" w:rsidP="00F91640">
      <w:pPr>
        <w:pStyle w:val="ListParagraph"/>
        <w:numPr>
          <w:ilvl w:val="1"/>
          <w:numId w:val="17"/>
        </w:numPr>
        <w:rPr>
          <w:lang w:val="fr-CA"/>
        </w:rPr>
      </w:pPr>
      <w:r w:rsidRPr="008A3351">
        <w:rPr>
          <w:rStyle w:val="Strong"/>
          <w:lang w:val="fr-CA"/>
        </w:rPr>
        <w:t>Mesure prise :</w:t>
      </w:r>
      <w:r w:rsidRPr="008A3351">
        <w:rPr>
          <w:lang w:val="fr-CA"/>
        </w:rPr>
        <w:t xml:space="preserve"> Les pages Web ont été immédiatement éditées.</w:t>
      </w:r>
    </w:p>
    <w:p w14:paraId="0C270C03" w14:textId="114ACC39" w:rsidR="00811FBB" w:rsidRPr="008A3351" w:rsidRDefault="00811FBB" w:rsidP="00F91640">
      <w:pPr>
        <w:pStyle w:val="ListParagraph"/>
        <w:numPr>
          <w:ilvl w:val="0"/>
          <w:numId w:val="17"/>
        </w:numPr>
        <w:rPr>
          <w:lang w:val="fr-CA"/>
        </w:rPr>
      </w:pPr>
      <w:r w:rsidRPr="008A3351">
        <w:rPr>
          <w:lang w:val="fr-CA"/>
        </w:rPr>
        <w:t xml:space="preserve">Une personne visitant l’édifice du Sénat du Canada (ESC) a remarqué qu’il était difficile d’accéder à l’édifice en fauteuil roulant. Les membres du personnel du Sénat ont constaté ce même problème lorsqu’ils ont essayé de déterminer un parcours accessible à utiliser entre la Colline du Parlement et l’ESC dans des </w:t>
      </w:r>
      <w:r w:rsidRPr="008A3351">
        <w:rPr>
          <w:lang w:val="fr-CA"/>
        </w:rPr>
        <w:lastRenderedPageBreak/>
        <w:t xml:space="preserve">documents promotionnels. Le parcours le plus direct présentait des obstacles tels que l’absence de signaux piétons et de surfaces tactiles, des bordures endommagées et un revêtement fissuré, un petit îlot de circulation escarpé et l’absence de signalisation directionnelle. </w:t>
      </w:r>
    </w:p>
    <w:p w14:paraId="51048915" w14:textId="77777777" w:rsidR="00811FBB" w:rsidRPr="008A3351" w:rsidRDefault="00811FBB" w:rsidP="00F91640">
      <w:pPr>
        <w:pStyle w:val="ListParagraph"/>
        <w:numPr>
          <w:ilvl w:val="1"/>
          <w:numId w:val="17"/>
        </w:numPr>
        <w:rPr>
          <w:lang w:val="fr-CA"/>
        </w:rPr>
      </w:pPr>
      <w:r w:rsidRPr="008A3351">
        <w:rPr>
          <w:rStyle w:val="Strong"/>
          <w:lang w:val="fr-CA"/>
        </w:rPr>
        <w:t>Mesure prise :</w:t>
      </w:r>
      <w:r w:rsidRPr="008A3351">
        <w:rPr>
          <w:lang w:val="fr-CA"/>
        </w:rPr>
        <w:t xml:space="preserve"> Le Sénat a présenté le problème à Services publics et Approvisionnement Canada (SPAC), qui a créé une équipe intergouvernementale comprenant la ville d’Ottawa et la Commission de la capitale nationale afin d’éliminer les obstacles dans la mesure du possible et d’établir un parcours accessible. </w:t>
      </w:r>
    </w:p>
    <w:p w14:paraId="360BDB19" w14:textId="23DA2566" w:rsidR="00811FBB" w:rsidRPr="008A3351" w:rsidRDefault="007C1E21" w:rsidP="00F91640">
      <w:pPr>
        <w:pStyle w:val="ListParagraph"/>
        <w:numPr>
          <w:ilvl w:val="0"/>
          <w:numId w:val="17"/>
        </w:numPr>
        <w:rPr>
          <w:lang w:val="fr-CA"/>
        </w:rPr>
      </w:pPr>
      <w:r w:rsidRPr="008A3351">
        <w:rPr>
          <w:lang w:val="fr-CA"/>
        </w:rPr>
        <w:t>Une personne a encouragé le Sénat à offrir des possibilités d’horaires réduits ou des postes à temps partiel dans les offres d’emploi, car les horaires à temps plein peuvent constituer un obstacle pour certaines personnes en situation de handicap.</w:t>
      </w:r>
    </w:p>
    <w:p w14:paraId="7FE11A35" w14:textId="0AD6177F" w:rsidR="00811FBB" w:rsidRPr="008A3351" w:rsidRDefault="00811FBB" w:rsidP="00F91640">
      <w:pPr>
        <w:pStyle w:val="ListParagraph"/>
        <w:numPr>
          <w:ilvl w:val="1"/>
          <w:numId w:val="17"/>
        </w:numPr>
        <w:rPr>
          <w:lang w:val="fr-CA"/>
        </w:rPr>
      </w:pPr>
      <w:r w:rsidRPr="008A3351">
        <w:rPr>
          <w:rStyle w:val="Strong"/>
          <w:lang w:val="fr-CA"/>
        </w:rPr>
        <w:t>Mesure prise :</w:t>
      </w:r>
      <w:r w:rsidRPr="008A3351">
        <w:rPr>
          <w:lang w:val="fr-CA"/>
        </w:rPr>
        <w:t xml:space="preserve"> La rétroaction a été communiquée à la Direction des ressources humaines afin qu’elle la prenne en compte dans le cadre du prochain examen des politiques, des procédures et des pratiques en matière d’acquisition et de gestion d</w:t>
      </w:r>
      <w:r w:rsidR="00380754" w:rsidRPr="008A3351">
        <w:rPr>
          <w:lang w:val="fr-CA"/>
        </w:rPr>
        <w:t>u</w:t>
      </w:r>
      <w:r w:rsidRPr="008A3351">
        <w:rPr>
          <w:lang w:val="fr-CA"/>
        </w:rPr>
        <w:t xml:space="preserve"> talent. </w:t>
      </w:r>
    </w:p>
    <w:p w14:paraId="79B75212" w14:textId="03155164" w:rsidR="00811FBB" w:rsidRPr="008A3351" w:rsidRDefault="00811FBB" w:rsidP="00F91640">
      <w:pPr>
        <w:pStyle w:val="ListParagraph"/>
        <w:numPr>
          <w:ilvl w:val="0"/>
          <w:numId w:val="17"/>
        </w:numPr>
        <w:rPr>
          <w:lang w:val="fr-CA"/>
        </w:rPr>
      </w:pPr>
      <w:r w:rsidRPr="008A3351">
        <w:rPr>
          <w:lang w:val="fr-CA"/>
        </w:rPr>
        <w:t xml:space="preserve">Une personne s’est </w:t>
      </w:r>
      <w:r w:rsidR="006A00B6" w:rsidRPr="008A3351">
        <w:rPr>
          <w:lang w:val="fr-CA"/>
        </w:rPr>
        <w:t>dit</w:t>
      </w:r>
      <w:r w:rsidRPr="008A3351">
        <w:rPr>
          <w:lang w:val="fr-CA"/>
        </w:rPr>
        <w:t xml:space="preserve"> préoccupée par le délai de 45 jours prévu dans le plan d’accessibilité pour la fourniture de versions en </w:t>
      </w:r>
      <w:r w:rsidR="006A00B6" w:rsidRPr="008A3351">
        <w:rPr>
          <w:lang w:val="fr-CA"/>
        </w:rPr>
        <w:t>braille ;</w:t>
      </w:r>
      <w:r w:rsidRPr="008A3351">
        <w:rPr>
          <w:lang w:val="fr-CA"/>
        </w:rPr>
        <w:t xml:space="preserve"> la personne semblait trouver le délai injuste.</w:t>
      </w:r>
    </w:p>
    <w:p w14:paraId="08D46F42" w14:textId="4032AB5D" w:rsidR="00811FBB" w:rsidRPr="008A3351" w:rsidRDefault="00811FBB" w:rsidP="00F91640">
      <w:pPr>
        <w:pStyle w:val="ListParagraph"/>
        <w:numPr>
          <w:ilvl w:val="1"/>
          <w:numId w:val="17"/>
        </w:numPr>
        <w:rPr>
          <w:lang w:val="fr-CA"/>
        </w:rPr>
      </w:pPr>
      <w:r w:rsidRPr="008A3351">
        <w:rPr>
          <w:rStyle w:val="Strong"/>
          <w:lang w:val="fr-CA"/>
        </w:rPr>
        <w:t xml:space="preserve">Mesure prise : </w:t>
      </w:r>
      <w:r w:rsidRPr="008A3351">
        <w:rPr>
          <w:lang w:val="fr-CA"/>
        </w:rPr>
        <w:t>L’agent</w:t>
      </w:r>
      <w:r w:rsidR="002D6F18" w:rsidRPr="008A3351">
        <w:rPr>
          <w:lang w:val="fr-CA"/>
        </w:rPr>
        <w:t>e</w:t>
      </w:r>
      <w:r w:rsidRPr="008A3351">
        <w:rPr>
          <w:lang w:val="fr-CA"/>
        </w:rPr>
        <w:t xml:space="preserve"> à l’accessibilité du Sénat a expliqué que les délais sont conformes aux règlements et qu’ils tiennent compte du temps nécessaire à la production et à l’envoi de la version en braille. Cette explication a été ajoutée au site Web du Sénat. </w:t>
      </w:r>
    </w:p>
    <w:p w14:paraId="58BCEE0C" w14:textId="0EEBF648" w:rsidR="00811FBB" w:rsidRPr="008A3351" w:rsidRDefault="00811FBB" w:rsidP="00F91640">
      <w:pPr>
        <w:pStyle w:val="ListParagraph"/>
        <w:numPr>
          <w:ilvl w:val="0"/>
          <w:numId w:val="17"/>
        </w:numPr>
        <w:rPr>
          <w:szCs w:val="26"/>
          <w:lang w:val="fr-CA"/>
        </w:rPr>
      </w:pPr>
      <w:r w:rsidRPr="008A3351">
        <w:rPr>
          <w:lang w:val="fr-CA"/>
        </w:rPr>
        <w:t xml:space="preserve">Un témoin devant un comité nous a informés qu’au cours d’une audience devant </w:t>
      </w:r>
      <w:r w:rsidRPr="008A3351">
        <w:rPr>
          <w:spacing w:val="-2"/>
          <w:lang w:val="fr-CA"/>
        </w:rPr>
        <w:t>un comité, le sous-titrage n’a pas suivi le rythme d’un autre témoin qui s’exprimait</w:t>
      </w:r>
      <w:r w:rsidRPr="008A3351">
        <w:rPr>
          <w:lang w:val="fr-CA"/>
        </w:rPr>
        <w:t xml:space="preserve"> rapidement. Le témoin a mentionné que le président de la réunion pourrait envisager de demander à un témoin de ralentir son débit ou de lui offrir plus de temps si nécessaire. Le témoin a également signalé d’autres distractions survenues au cours de la réunion.</w:t>
      </w:r>
    </w:p>
    <w:p w14:paraId="63052F9A" w14:textId="39E95914" w:rsidR="00811FBB" w:rsidRPr="008A3351" w:rsidRDefault="00811FBB" w:rsidP="00F91640">
      <w:pPr>
        <w:pStyle w:val="ListParagraph"/>
        <w:numPr>
          <w:ilvl w:val="1"/>
          <w:numId w:val="17"/>
        </w:numPr>
        <w:rPr>
          <w:szCs w:val="26"/>
          <w:lang w:val="fr-CA"/>
        </w:rPr>
      </w:pPr>
      <w:r w:rsidRPr="008A3351">
        <w:rPr>
          <w:b/>
          <w:lang w:val="fr-CA"/>
        </w:rPr>
        <w:t xml:space="preserve">Mesure prise : </w:t>
      </w:r>
      <w:r w:rsidRPr="008A3351">
        <w:rPr>
          <w:lang w:val="fr-CA"/>
        </w:rPr>
        <w:t xml:space="preserve">Des séances d’information sur les pratiques exemplaires en matière de diffusion pour les présidents de comité sont prévues pour </w:t>
      </w:r>
      <w:r w:rsidRPr="008A3351">
        <w:rPr>
          <w:lang w:val="fr-CA"/>
        </w:rPr>
        <w:lastRenderedPageBreak/>
        <w:t xml:space="preserve">le début de l’année 2024. Ces séances comprendront des conseils pour </w:t>
      </w:r>
      <w:r w:rsidRPr="008A3351">
        <w:rPr>
          <w:spacing w:val="-2"/>
          <w:lang w:val="fr-CA"/>
        </w:rPr>
        <w:t xml:space="preserve">atténuer les problèmes soulevés par le témoin. Les idées du témoin </w:t>
      </w:r>
      <w:r w:rsidR="00F91640">
        <w:rPr>
          <w:spacing w:val="-2"/>
          <w:lang w:val="fr-CA"/>
        </w:rPr>
        <w:br/>
      </w:r>
      <w:r w:rsidRPr="008A3351">
        <w:rPr>
          <w:spacing w:val="-2"/>
          <w:lang w:val="fr-CA"/>
        </w:rPr>
        <w:t>seront</w:t>
      </w:r>
      <w:r w:rsidRPr="008A3351">
        <w:rPr>
          <w:lang w:val="fr-CA"/>
        </w:rPr>
        <w:t xml:space="preserve"> également incluses dans la formation à l’accessibilité pour les présidents des réunions de comités, qui est l’un des objectifs du plan d’accessibilité du Sénat.</w:t>
      </w:r>
    </w:p>
    <w:p w14:paraId="52CBA875" w14:textId="459E19F9" w:rsidR="00C95758" w:rsidRPr="008A3351" w:rsidRDefault="00463B88" w:rsidP="007D3C3F">
      <w:pPr>
        <w:pStyle w:val="Heading2"/>
        <w:rPr>
          <w:lang w:val="fr-CA"/>
        </w:rPr>
      </w:pPr>
      <w:bookmarkStart w:id="82" w:name="_Toc151466333"/>
      <w:r w:rsidRPr="008A3351">
        <w:rPr>
          <w:lang w:val="fr-CA"/>
        </w:rPr>
        <w:t>Rétroactions relatives à la mise en œuvre du plan</w:t>
      </w:r>
      <w:bookmarkEnd w:id="82"/>
    </w:p>
    <w:p w14:paraId="374738DB" w14:textId="49DA1E7D" w:rsidR="00711C34" w:rsidRPr="008A3351" w:rsidRDefault="000D1AB1" w:rsidP="00F91640">
      <w:pPr>
        <w:pStyle w:val="ListParagraph"/>
        <w:numPr>
          <w:ilvl w:val="0"/>
          <w:numId w:val="18"/>
        </w:numPr>
        <w:rPr>
          <w:lang w:val="fr-CA"/>
        </w:rPr>
      </w:pPr>
      <w:r w:rsidRPr="008A3351">
        <w:rPr>
          <w:lang w:val="fr-CA"/>
        </w:rPr>
        <w:t xml:space="preserve">Une personne a mentionné que le Sénat aurait pu élargir ses consultations pour inclure des organisations spécialisées dans le domaine de l’autisme et de la </w:t>
      </w:r>
      <w:r w:rsidRPr="008A3351">
        <w:rPr>
          <w:spacing w:val="-2"/>
          <w:lang w:val="fr-CA"/>
        </w:rPr>
        <w:t>neurodivergence lors de l’élaboration de son plan d’accessibilité. Elle a également</w:t>
      </w:r>
      <w:r w:rsidRPr="008A3351">
        <w:rPr>
          <w:lang w:val="fr-CA"/>
        </w:rPr>
        <w:t xml:space="preserve"> précisé que le plan pourrait mieux refléter la diversité du langage utilisé par les personnes en situation de handicap pour se décrire. Enfin, elle a proposé que le Sénat prenne l’initiative de communiquer avec les témoins devant un comité pour s’informer de leur expérience.</w:t>
      </w:r>
    </w:p>
    <w:p w14:paraId="1F14B225" w14:textId="1A1F4371" w:rsidR="000D1AB1" w:rsidRPr="008A3351" w:rsidRDefault="4BD265A9" w:rsidP="00F91640">
      <w:pPr>
        <w:pStyle w:val="ListParagraph"/>
        <w:numPr>
          <w:ilvl w:val="1"/>
          <w:numId w:val="18"/>
        </w:numPr>
        <w:rPr>
          <w:lang w:val="fr-CA"/>
        </w:rPr>
      </w:pPr>
      <w:r w:rsidRPr="008A3351">
        <w:rPr>
          <w:rStyle w:val="Strong"/>
          <w:lang w:val="fr-CA"/>
        </w:rPr>
        <w:t>Mesure prise :</w:t>
      </w:r>
      <w:r w:rsidRPr="008A3351">
        <w:rPr>
          <w:lang w:val="fr-CA"/>
        </w:rPr>
        <w:t xml:space="preserve"> Le Sénat a consulté davantage de personnes et de groupes différents dans le cadre de son rapport d’étape.</w:t>
      </w:r>
    </w:p>
    <w:p w14:paraId="1149723A" w14:textId="18B2D150" w:rsidR="00F22A3F" w:rsidRPr="008A3351" w:rsidRDefault="00F22A3F" w:rsidP="00F91640">
      <w:pPr>
        <w:pStyle w:val="ListParagraph"/>
        <w:numPr>
          <w:ilvl w:val="1"/>
          <w:numId w:val="18"/>
        </w:numPr>
        <w:rPr>
          <w:lang w:val="fr-CA"/>
        </w:rPr>
      </w:pPr>
      <w:r w:rsidRPr="008A3351">
        <w:rPr>
          <w:rStyle w:val="Strong"/>
          <w:lang w:val="fr-CA"/>
        </w:rPr>
        <w:t xml:space="preserve">Mesure prise : </w:t>
      </w:r>
      <w:r w:rsidRPr="008A3351">
        <w:rPr>
          <w:lang w:val="fr-CA"/>
        </w:rPr>
        <w:t>Le présent rapport d’étape comprend une remarque sur l’utilisation d’un langage axé sur le handicap d’abord dans la section « Termes et définitions ».</w:t>
      </w:r>
    </w:p>
    <w:p w14:paraId="1B4446B1" w14:textId="6DE67619" w:rsidR="00F22A3F" w:rsidRPr="008A3351" w:rsidRDefault="00F22A3F" w:rsidP="00F91640">
      <w:pPr>
        <w:pStyle w:val="ListParagraph"/>
        <w:numPr>
          <w:ilvl w:val="1"/>
          <w:numId w:val="18"/>
        </w:numPr>
        <w:rPr>
          <w:lang w:val="fr-CA"/>
        </w:rPr>
      </w:pPr>
      <w:r w:rsidRPr="008A3351">
        <w:rPr>
          <w:rStyle w:val="Strong"/>
          <w:lang w:val="fr-CA"/>
        </w:rPr>
        <w:t>Mesure prise :</w:t>
      </w:r>
      <w:r w:rsidRPr="008A3351">
        <w:rPr>
          <w:lang w:val="fr-CA"/>
        </w:rPr>
        <w:t xml:space="preserve"> Le Sénat envoie aux témoins un sondage à la suite de leur participation à un comité. Une option a été ajoutée pour permettre aux </w:t>
      </w:r>
      <w:r w:rsidRPr="008A3351">
        <w:rPr>
          <w:spacing w:val="-2"/>
          <w:lang w:val="fr-CA"/>
        </w:rPr>
        <w:t>témoins de préciser s’ils souhaitent participer aux prochaines consultations</w:t>
      </w:r>
      <w:r w:rsidRPr="008A3351">
        <w:rPr>
          <w:lang w:val="fr-CA"/>
        </w:rPr>
        <w:t xml:space="preserve"> du Sénat sur l’accessibilité. </w:t>
      </w:r>
    </w:p>
    <w:p w14:paraId="53C79C0A" w14:textId="5F0C41BD" w:rsidR="00A10869" w:rsidRPr="008A3351" w:rsidRDefault="00A10869" w:rsidP="00F91640">
      <w:pPr>
        <w:pStyle w:val="ListParagraph"/>
        <w:numPr>
          <w:ilvl w:val="0"/>
          <w:numId w:val="18"/>
        </w:numPr>
        <w:rPr>
          <w:lang w:val="fr-CA"/>
        </w:rPr>
      </w:pPr>
      <w:r w:rsidRPr="008A3351">
        <w:rPr>
          <w:lang w:val="fr-CA"/>
        </w:rPr>
        <w:t>Un employé du Sénat a demandé à conna</w:t>
      </w:r>
      <w:r w:rsidR="002D6F18" w:rsidRPr="008A3351">
        <w:rPr>
          <w:lang w:val="fr-CA"/>
        </w:rPr>
        <w:t>i</w:t>
      </w:r>
      <w:r w:rsidRPr="008A3351">
        <w:rPr>
          <w:lang w:val="fr-CA"/>
        </w:rPr>
        <w:t xml:space="preserve">tre la façon de demander le service d’interprétation en langue des signes pour un événement. </w:t>
      </w:r>
    </w:p>
    <w:p w14:paraId="68C4D1D6" w14:textId="3BCE8782" w:rsidR="00A10869" w:rsidRPr="008A3351" w:rsidRDefault="00A10869" w:rsidP="00F91640">
      <w:pPr>
        <w:pStyle w:val="ListParagraph"/>
        <w:numPr>
          <w:ilvl w:val="1"/>
          <w:numId w:val="18"/>
        </w:numPr>
        <w:rPr>
          <w:lang w:val="fr-CA"/>
        </w:rPr>
      </w:pPr>
      <w:r w:rsidRPr="008A3351">
        <w:rPr>
          <w:rStyle w:val="Strong"/>
          <w:lang w:val="fr-CA"/>
        </w:rPr>
        <w:t>Mesure prise :</w:t>
      </w:r>
      <w:r w:rsidRPr="008A3351">
        <w:rPr>
          <w:lang w:val="fr-CA"/>
        </w:rPr>
        <w:t xml:space="preserve"> Les informations ont été fournies et seront utilisées pour </w:t>
      </w:r>
      <w:r w:rsidRPr="008A3351">
        <w:rPr>
          <w:spacing w:val="-2"/>
          <w:lang w:val="fr-CA"/>
        </w:rPr>
        <w:t>atteindre l’objectif fixé pour 2024, à savoir la création d’une trousse à outils</w:t>
      </w:r>
      <w:r w:rsidRPr="008A3351">
        <w:rPr>
          <w:lang w:val="fr-CA"/>
        </w:rPr>
        <w:t xml:space="preserve"> pour demander le service d’interprétation en langue des signes au Sénat.</w:t>
      </w:r>
    </w:p>
    <w:p w14:paraId="2632F57B" w14:textId="600DE65D" w:rsidR="00F22A3F" w:rsidRPr="008A3351" w:rsidRDefault="00DA1C21" w:rsidP="00F91640">
      <w:pPr>
        <w:pStyle w:val="ListParagraph"/>
        <w:numPr>
          <w:ilvl w:val="0"/>
          <w:numId w:val="18"/>
        </w:numPr>
        <w:rPr>
          <w:lang w:val="fr-CA"/>
        </w:rPr>
      </w:pPr>
      <w:r w:rsidRPr="008A3351">
        <w:rPr>
          <w:lang w:val="fr-CA"/>
        </w:rPr>
        <w:t xml:space="preserve">Des commentaires positifs relatifs à la nouvelle signalisation des places réservées aux personnes utilisant des technologies d’assistance </w:t>
      </w:r>
      <w:r w:rsidR="007833BA" w:rsidRPr="008A3351">
        <w:rPr>
          <w:lang w:val="fr-CA"/>
        </w:rPr>
        <w:t>audios</w:t>
      </w:r>
      <w:r w:rsidRPr="008A3351">
        <w:rPr>
          <w:lang w:val="fr-CA"/>
        </w:rPr>
        <w:t xml:space="preserve"> dans les salles de </w:t>
      </w:r>
      <w:r w:rsidRPr="008A3351">
        <w:rPr>
          <w:lang w:val="fr-CA"/>
        </w:rPr>
        <w:lastRenderedPageBreak/>
        <w:t>comité et à une série de courriels de sensibilisation à la Semaine nationale de l’accessibilité ont été reçus.</w:t>
      </w:r>
    </w:p>
    <w:p w14:paraId="0A1ED5F4" w14:textId="117D878F" w:rsidR="007C1E21" w:rsidRPr="008A3351" w:rsidRDefault="75E030B6" w:rsidP="00F91640">
      <w:pPr>
        <w:pStyle w:val="ListParagraph"/>
        <w:numPr>
          <w:ilvl w:val="1"/>
          <w:numId w:val="18"/>
        </w:numPr>
        <w:rPr>
          <w:lang w:val="fr-CA"/>
        </w:rPr>
      </w:pPr>
      <w:r w:rsidRPr="008A3351">
        <w:rPr>
          <w:rStyle w:val="Strong"/>
          <w:lang w:val="fr-CA"/>
        </w:rPr>
        <w:t>Mesure prise :</w:t>
      </w:r>
      <w:r w:rsidRPr="008A3351">
        <w:rPr>
          <w:lang w:val="fr-CA"/>
        </w:rPr>
        <w:t xml:space="preserve"> </w:t>
      </w:r>
      <w:r w:rsidR="002D6F18" w:rsidRPr="008A3351">
        <w:rPr>
          <w:lang w:val="fr-CA"/>
        </w:rPr>
        <w:t>N</w:t>
      </w:r>
      <w:r w:rsidRPr="008A3351">
        <w:rPr>
          <w:lang w:val="fr-CA"/>
        </w:rPr>
        <w:t>e s’applique pas.</w:t>
      </w:r>
    </w:p>
    <w:p w14:paraId="5B9C315A" w14:textId="30D1C416" w:rsidR="00463B88" w:rsidRPr="008A3351" w:rsidRDefault="00711C34" w:rsidP="007D3C3F">
      <w:pPr>
        <w:pStyle w:val="Heading2"/>
        <w:rPr>
          <w:lang w:val="fr-CA"/>
        </w:rPr>
      </w:pPr>
      <w:bookmarkStart w:id="83" w:name="_Toc149249663"/>
      <w:bookmarkStart w:id="84" w:name="_Toc149249664"/>
      <w:bookmarkStart w:id="85" w:name="_Toc149249665"/>
      <w:bookmarkStart w:id="86" w:name="_Toc149249666"/>
      <w:bookmarkStart w:id="87" w:name="_Toc149249667"/>
      <w:bookmarkStart w:id="88" w:name="_Toc149249668"/>
      <w:bookmarkStart w:id="89" w:name="_Toc149249669"/>
      <w:bookmarkStart w:id="90" w:name="_Toc149249670"/>
      <w:bookmarkStart w:id="91" w:name="_Toc149249671"/>
      <w:bookmarkStart w:id="92" w:name="_Toc149249672"/>
      <w:bookmarkStart w:id="93" w:name="_Toc149249673"/>
      <w:bookmarkStart w:id="94" w:name="_Toc149249674"/>
      <w:bookmarkStart w:id="95" w:name="_Toc151466334"/>
      <w:bookmarkEnd w:id="83"/>
      <w:bookmarkEnd w:id="84"/>
      <w:bookmarkEnd w:id="85"/>
      <w:bookmarkEnd w:id="86"/>
      <w:bookmarkEnd w:id="87"/>
      <w:bookmarkEnd w:id="88"/>
      <w:bookmarkEnd w:id="89"/>
      <w:bookmarkEnd w:id="90"/>
      <w:bookmarkEnd w:id="91"/>
      <w:bookmarkEnd w:id="92"/>
      <w:bookmarkEnd w:id="93"/>
      <w:bookmarkEnd w:id="94"/>
      <w:r w:rsidRPr="008A3351">
        <w:rPr>
          <w:lang w:val="fr-CA"/>
        </w:rPr>
        <w:t>Rétroactions visant à améliorer l’accessibilité au Sénat</w:t>
      </w:r>
      <w:bookmarkEnd w:id="95"/>
    </w:p>
    <w:p w14:paraId="0914CACC" w14:textId="1F0F80ED" w:rsidR="00F22A3F" w:rsidRPr="008A3351" w:rsidRDefault="00711C34" w:rsidP="00F91640">
      <w:pPr>
        <w:pStyle w:val="ListParagraph"/>
        <w:numPr>
          <w:ilvl w:val="0"/>
          <w:numId w:val="19"/>
        </w:numPr>
        <w:rPr>
          <w:lang w:val="fr-CA"/>
        </w:rPr>
      </w:pPr>
      <w:r w:rsidRPr="008A3351">
        <w:rPr>
          <w:lang w:val="fr-CA"/>
        </w:rPr>
        <w:t xml:space="preserve">L’ajout de « considérations sur l’accessibilité » au modèle de note d’information du Sénat afin de s’assurer que tout ce qui est destiné aux décideurs est évalué en fonction de ses implications sur l’accessibilité. </w:t>
      </w:r>
    </w:p>
    <w:p w14:paraId="20DC2F49" w14:textId="51A3E0D4" w:rsidR="00711C34" w:rsidRPr="008A3351" w:rsidRDefault="00F22A3F" w:rsidP="00F91640">
      <w:pPr>
        <w:pStyle w:val="ListParagraph"/>
        <w:numPr>
          <w:ilvl w:val="1"/>
          <w:numId w:val="19"/>
        </w:numPr>
        <w:rPr>
          <w:lang w:val="fr-CA"/>
        </w:rPr>
      </w:pPr>
      <w:r w:rsidRPr="008A3351">
        <w:rPr>
          <w:rStyle w:val="Strong"/>
          <w:lang w:val="fr-CA"/>
        </w:rPr>
        <w:t>Mesure prise :</w:t>
      </w:r>
      <w:r w:rsidRPr="008A3351">
        <w:rPr>
          <w:lang w:val="fr-CA"/>
        </w:rPr>
        <w:t xml:space="preserve"> Les modèles ont été mis à jour. </w:t>
      </w:r>
    </w:p>
    <w:p w14:paraId="4F8C0A30" w14:textId="054CFDFB" w:rsidR="001C67B5" w:rsidRPr="008A3351" w:rsidRDefault="00F22A3F" w:rsidP="00F91640">
      <w:pPr>
        <w:pStyle w:val="ListParagraph"/>
        <w:numPr>
          <w:ilvl w:val="0"/>
          <w:numId w:val="19"/>
        </w:numPr>
        <w:rPr>
          <w:lang w:val="fr-CA"/>
        </w:rPr>
      </w:pPr>
      <w:r w:rsidRPr="008A3351">
        <w:rPr>
          <w:lang w:val="fr-CA"/>
        </w:rPr>
        <w:t>L’étude d’une fonction de lecture à haute voix pour l’intranet du Sénat.</w:t>
      </w:r>
    </w:p>
    <w:p w14:paraId="526AF297" w14:textId="2BDBBEC1" w:rsidR="4BD265A9" w:rsidRPr="008A3351" w:rsidRDefault="4BD265A9" w:rsidP="00F91640">
      <w:pPr>
        <w:pStyle w:val="ListParagraph"/>
        <w:numPr>
          <w:ilvl w:val="1"/>
          <w:numId w:val="19"/>
        </w:numPr>
        <w:rPr>
          <w:lang w:val="fr-CA"/>
        </w:rPr>
      </w:pPr>
      <w:r w:rsidRPr="008A3351">
        <w:rPr>
          <w:rStyle w:val="Strong"/>
          <w:lang w:val="fr-CA"/>
        </w:rPr>
        <w:t>Mesure prise :</w:t>
      </w:r>
      <w:r w:rsidRPr="008A3351">
        <w:rPr>
          <w:lang w:val="fr-CA"/>
        </w:rPr>
        <w:t xml:space="preserve"> Le Sénat étudie la possibilité de créer des extensions de navigateur qui permettraient d’assurer la fonction de lecture à haute voix.</w:t>
      </w:r>
    </w:p>
    <w:p w14:paraId="6B7AE93A" w14:textId="724C3C03" w:rsidR="00FE2995" w:rsidRPr="008A3351" w:rsidRDefault="00FE2995" w:rsidP="007D3C3F">
      <w:pPr>
        <w:pStyle w:val="Heading1"/>
        <w:rPr>
          <w:lang w:val="fr-CA"/>
        </w:rPr>
      </w:pPr>
      <w:bookmarkStart w:id="96" w:name="_Toc149249676"/>
      <w:bookmarkStart w:id="97" w:name="_Toc149249677"/>
      <w:bookmarkStart w:id="98" w:name="_Toc149249678"/>
      <w:bookmarkStart w:id="99" w:name="_Toc149249679"/>
      <w:bookmarkStart w:id="100" w:name="_Toc151466335"/>
      <w:bookmarkEnd w:id="96"/>
      <w:bookmarkEnd w:id="97"/>
      <w:bookmarkEnd w:id="98"/>
      <w:bookmarkEnd w:id="99"/>
      <w:r w:rsidRPr="008A3351">
        <w:rPr>
          <w:lang w:val="fr-CA"/>
        </w:rPr>
        <w:t>Conclusion</w:t>
      </w:r>
      <w:bookmarkEnd w:id="100"/>
      <w:r w:rsidRPr="008A3351">
        <w:rPr>
          <w:lang w:val="fr-CA"/>
        </w:rPr>
        <w:t xml:space="preserve"> </w:t>
      </w:r>
    </w:p>
    <w:p w14:paraId="17ECAD4F" w14:textId="253FC3F5" w:rsidR="008C4B16" w:rsidRPr="008A3351" w:rsidRDefault="007C5D32" w:rsidP="000D1AB1">
      <w:pPr>
        <w:rPr>
          <w:lang w:val="fr-CA"/>
        </w:rPr>
      </w:pPr>
      <w:r w:rsidRPr="008A3351">
        <w:rPr>
          <w:spacing w:val="-2"/>
          <w:lang w:val="fr-CA"/>
        </w:rPr>
        <w:t>Alors que le Sénat achève la première année de mise en œuvre de son plan d’accessibilité</w:t>
      </w:r>
      <w:r w:rsidRPr="008A3351">
        <w:rPr>
          <w:lang w:val="fr-CA"/>
        </w:rPr>
        <w:t xml:space="preserve">, la dynamique s’intensifie. Le plan favorise la prise de conscience et la prise de mesures </w:t>
      </w:r>
      <w:r w:rsidRPr="008A3351">
        <w:rPr>
          <w:spacing w:val="-2"/>
          <w:lang w:val="fr-CA"/>
        </w:rPr>
        <w:t>dans l’ensemble de l’organisation. Dans le même temps, cette année a renforcé la réalité</w:t>
      </w:r>
      <w:r w:rsidRPr="008A3351">
        <w:rPr>
          <w:lang w:val="fr-CA"/>
        </w:rPr>
        <w:t xml:space="preserve"> selon laquelle l’accessibilité est un processus continu qui ne s’achève pas avec la réalisation des objectifs. Notre priorité reste l’inclusion des personnes en situation de handicap. Le Sénat est engagé à poursuivre l’examen de ce qu’il fait et de la manière dont il le fait pour trouver et éliminer les obstacles à l’accessibilité. </w:t>
      </w:r>
      <w:r w:rsidR="007833BA" w:rsidRPr="008A3351">
        <w:rPr>
          <w:lang w:val="fr-CA"/>
        </w:rPr>
        <w:t>De plus</w:t>
      </w:r>
      <w:r w:rsidRPr="008A3351">
        <w:rPr>
          <w:lang w:val="fr-CA"/>
        </w:rPr>
        <w:t>, le Sénat s’est engagé à tirer continuellement des enseignements de la mise en œuvre de son plan, en particulier des discussions qu’il a eues avec les personnes en situation de handicap.</w:t>
      </w:r>
      <w:r w:rsidRPr="008A3351">
        <w:rPr>
          <w:lang w:val="fr-CA"/>
        </w:rPr>
        <w:br w:type="page"/>
      </w:r>
    </w:p>
    <w:p w14:paraId="3ED8EDF3" w14:textId="341D1638" w:rsidR="009C0674" w:rsidRPr="008A3351" w:rsidRDefault="008C4B16" w:rsidP="000D1AB1">
      <w:pPr>
        <w:pStyle w:val="Heading1"/>
        <w:rPr>
          <w:lang w:val="fr-CA"/>
        </w:rPr>
      </w:pPr>
      <w:bookmarkStart w:id="101" w:name="_Toc151466336"/>
      <w:r w:rsidRPr="008A3351">
        <w:rPr>
          <w:lang w:val="fr-CA"/>
        </w:rPr>
        <w:lastRenderedPageBreak/>
        <w:t>Annexe A</w:t>
      </w:r>
      <w:bookmarkEnd w:id="101"/>
    </w:p>
    <w:tbl>
      <w:tblPr>
        <w:tblStyle w:val="TableGrid"/>
        <w:tblW w:w="9445" w:type="dxa"/>
        <w:tblLook w:val="04A0" w:firstRow="1" w:lastRow="0" w:firstColumn="1" w:lastColumn="0" w:noHBand="0" w:noVBand="1"/>
      </w:tblPr>
      <w:tblGrid>
        <w:gridCol w:w="7915"/>
        <w:gridCol w:w="1530"/>
      </w:tblGrid>
      <w:tr w:rsidR="009C0674" w:rsidRPr="008A3351" w14:paraId="48922C9E" w14:textId="77777777" w:rsidTr="00725632">
        <w:trPr>
          <w:trHeight w:val="360"/>
        </w:trPr>
        <w:tc>
          <w:tcPr>
            <w:tcW w:w="7915" w:type="dxa"/>
            <w:tcMar>
              <w:top w:w="144" w:type="dxa"/>
              <w:left w:w="144" w:type="dxa"/>
              <w:bottom w:w="144" w:type="dxa"/>
              <w:right w:w="144" w:type="dxa"/>
            </w:tcMar>
            <w:hideMark/>
          </w:tcPr>
          <w:p w14:paraId="28CB696B" w14:textId="77777777" w:rsidR="009C0674" w:rsidRPr="008A3351" w:rsidRDefault="009C0674" w:rsidP="00725632">
            <w:pPr>
              <w:spacing w:before="0" w:after="0"/>
              <w:rPr>
                <w:rFonts w:ascii="Calibri" w:eastAsia="Times New Roman" w:hAnsi="Calibri" w:cs="Calibri"/>
                <w:b/>
                <w:bCs/>
                <w:sz w:val="24"/>
                <w:lang w:val="fr-CA"/>
              </w:rPr>
            </w:pPr>
            <w:r w:rsidRPr="008A3351">
              <w:rPr>
                <w:rFonts w:ascii="Calibri" w:hAnsi="Calibri"/>
                <w:b/>
                <w:sz w:val="24"/>
                <w:lang w:val="fr-CA"/>
              </w:rPr>
              <w:t>Objectif en matière d’accessibilité</w:t>
            </w:r>
          </w:p>
        </w:tc>
        <w:tc>
          <w:tcPr>
            <w:tcW w:w="1530" w:type="dxa"/>
            <w:tcMar>
              <w:top w:w="144" w:type="dxa"/>
              <w:left w:w="144" w:type="dxa"/>
              <w:bottom w:w="144" w:type="dxa"/>
              <w:right w:w="144" w:type="dxa"/>
            </w:tcMar>
            <w:hideMark/>
          </w:tcPr>
          <w:p w14:paraId="1E980205" w14:textId="77777777" w:rsidR="009C0674" w:rsidRPr="008A3351" w:rsidRDefault="009C0674" w:rsidP="00725632">
            <w:pPr>
              <w:spacing w:before="0" w:after="0"/>
              <w:rPr>
                <w:rFonts w:ascii="Calibri" w:eastAsia="Times New Roman" w:hAnsi="Calibri" w:cs="Calibri"/>
                <w:b/>
                <w:bCs/>
                <w:sz w:val="24"/>
                <w:lang w:val="fr-CA"/>
              </w:rPr>
            </w:pPr>
            <w:r w:rsidRPr="008A3351">
              <w:rPr>
                <w:rFonts w:ascii="Calibri" w:hAnsi="Calibri"/>
                <w:b/>
                <w:sz w:val="24"/>
                <w:lang w:val="fr-CA"/>
              </w:rPr>
              <w:t>Échéance</w:t>
            </w:r>
          </w:p>
        </w:tc>
      </w:tr>
      <w:tr w:rsidR="009C0674" w:rsidRPr="008A3351" w14:paraId="2F8CE43E" w14:textId="77777777" w:rsidTr="00725632">
        <w:trPr>
          <w:trHeight w:val="360"/>
        </w:trPr>
        <w:tc>
          <w:tcPr>
            <w:tcW w:w="7915" w:type="dxa"/>
            <w:tcMar>
              <w:top w:w="144" w:type="dxa"/>
              <w:left w:w="144" w:type="dxa"/>
              <w:bottom w:w="144" w:type="dxa"/>
              <w:right w:w="144" w:type="dxa"/>
            </w:tcMar>
            <w:hideMark/>
          </w:tcPr>
          <w:p w14:paraId="2AC68915" w14:textId="3B57575C" w:rsidR="009C0674" w:rsidRPr="008A3351" w:rsidRDefault="009C067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 xml:space="preserve">D’ici fin 2024, le Sénat intégrera des renseignements sur les évacuations d’urgence pour les personnes en situation de handicap dans la formation de sensibilisation à l’accessibilité qui sera lancée ultérieurement (voir la section 3.8 – Initiatives à l’échelle de l’organisation). Entre-temps, tous les membres du personnel </w:t>
            </w:r>
            <w:proofErr w:type="gramStart"/>
            <w:r w:rsidRPr="008A3351">
              <w:rPr>
                <w:rFonts w:ascii="Calibri" w:hAnsi="Calibri"/>
                <w:color w:val="000000"/>
                <w:sz w:val="24"/>
                <w:lang w:val="fr-CA"/>
              </w:rPr>
              <w:t>ayant</w:t>
            </w:r>
            <w:proofErr w:type="gramEnd"/>
            <w:r w:rsidRPr="008A3351">
              <w:rPr>
                <w:rFonts w:ascii="Calibri" w:hAnsi="Calibri"/>
                <w:color w:val="000000"/>
                <w:sz w:val="24"/>
                <w:lang w:val="fr-CA"/>
              </w:rPr>
              <w:t xml:space="preserve"> un rôle </w:t>
            </w:r>
            <w:r w:rsidR="000D3B04" w:rsidRPr="008A3351">
              <w:rPr>
                <w:rFonts w:ascii="Calibri" w:hAnsi="Calibri"/>
                <w:color w:val="000000"/>
                <w:sz w:val="24"/>
                <w:lang w:val="fr-CA"/>
              </w:rPr>
              <w:t xml:space="preserve">ou </w:t>
            </w:r>
            <w:r w:rsidRPr="008A3351">
              <w:rPr>
                <w:rFonts w:ascii="Calibri" w:hAnsi="Calibri"/>
                <w:color w:val="000000"/>
                <w:sz w:val="24"/>
                <w:lang w:val="fr-CA"/>
              </w:rPr>
              <w:t>des responsabilités dans les procédures d’urgence ont reçu les informations nécessaires.</w:t>
            </w:r>
          </w:p>
        </w:tc>
        <w:tc>
          <w:tcPr>
            <w:tcW w:w="1530" w:type="dxa"/>
            <w:tcMar>
              <w:top w:w="144" w:type="dxa"/>
              <w:left w:w="144" w:type="dxa"/>
              <w:bottom w:w="144" w:type="dxa"/>
              <w:right w:w="144" w:type="dxa"/>
            </w:tcMar>
            <w:hideMark/>
          </w:tcPr>
          <w:p w14:paraId="1D85C2BF" w14:textId="77777777" w:rsidR="009C0674" w:rsidRPr="008A3351" w:rsidRDefault="009C067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2024</w:t>
            </w:r>
          </w:p>
        </w:tc>
      </w:tr>
      <w:tr w:rsidR="009C0674" w:rsidRPr="008A3351" w14:paraId="7F22A32D" w14:textId="77777777" w:rsidTr="00725632">
        <w:trPr>
          <w:trHeight w:val="360"/>
        </w:trPr>
        <w:tc>
          <w:tcPr>
            <w:tcW w:w="7915" w:type="dxa"/>
            <w:tcMar>
              <w:top w:w="144" w:type="dxa"/>
              <w:left w:w="144" w:type="dxa"/>
              <w:bottom w:w="144" w:type="dxa"/>
              <w:right w:w="144" w:type="dxa"/>
            </w:tcMar>
            <w:hideMark/>
          </w:tcPr>
          <w:p w14:paraId="4B1CE39B" w14:textId="4008ECED" w:rsidR="009C0674" w:rsidRPr="008A3351" w:rsidRDefault="009C067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D’ici fin 2024, le Sénat remplacera son système de candidature en ligne et l’accessibilité sera une exigence essentielle dans le cadre de l’élaboration du nouveau système. Le système choisi devra être conforme aux WCAG 2.1 du World Wide Web Consortium (W3C)</w:t>
            </w:r>
            <w:r w:rsidR="000D3B04" w:rsidRPr="008A3351">
              <w:rPr>
                <w:rFonts w:ascii="Calibri" w:hAnsi="Calibri"/>
                <w:color w:val="000000"/>
                <w:sz w:val="24"/>
                <w:lang w:val="fr-CA"/>
              </w:rPr>
              <w:t>,</w:t>
            </w:r>
            <w:r w:rsidRPr="008A3351">
              <w:rPr>
                <w:rFonts w:ascii="Calibri" w:hAnsi="Calibri"/>
                <w:color w:val="000000"/>
                <w:sz w:val="24"/>
                <w:lang w:val="fr-CA"/>
              </w:rPr>
              <w:t xml:space="preserve"> un ensemble de normes internationales pour l’accessibilité en ligne. En attendant cette mise à niveau du système, le Sénat sera proactif en proposant d’aider les candidats qui ont besoin </w:t>
            </w:r>
            <w:r w:rsidR="000D3B04" w:rsidRPr="008A3351">
              <w:rPr>
                <w:rFonts w:ascii="Calibri" w:hAnsi="Calibri"/>
                <w:color w:val="000000"/>
                <w:sz w:val="24"/>
                <w:lang w:val="fr-CA"/>
              </w:rPr>
              <w:t>d’aménagements</w:t>
            </w:r>
            <w:r w:rsidRPr="008A3351">
              <w:rPr>
                <w:rFonts w:ascii="Calibri" w:hAnsi="Calibri"/>
                <w:color w:val="000000"/>
                <w:sz w:val="24"/>
                <w:lang w:val="fr-CA"/>
              </w:rPr>
              <w:t>.</w:t>
            </w:r>
          </w:p>
        </w:tc>
        <w:tc>
          <w:tcPr>
            <w:tcW w:w="1530" w:type="dxa"/>
            <w:tcMar>
              <w:top w:w="144" w:type="dxa"/>
              <w:left w:w="144" w:type="dxa"/>
              <w:bottom w:w="144" w:type="dxa"/>
              <w:right w:w="144" w:type="dxa"/>
            </w:tcMar>
            <w:hideMark/>
          </w:tcPr>
          <w:p w14:paraId="2E549D48" w14:textId="77777777" w:rsidR="009C0674" w:rsidRPr="008A3351" w:rsidRDefault="009C067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2024</w:t>
            </w:r>
          </w:p>
        </w:tc>
      </w:tr>
      <w:tr w:rsidR="009C0674" w:rsidRPr="008A3351" w14:paraId="7099384D" w14:textId="77777777" w:rsidTr="00725632">
        <w:trPr>
          <w:trHeight w:val="360"/>
        </w:trPr>
        <w:tc>
          <w:tcPr>
            <w:tcW w:w="7915" w:type="dxa"/>
            <w:tcMar>
              <w:top w:w="144" w:type="dxa"/>
              <w:left w:w="144" w:type="dxa"/>
              <w:bottom w:w="144" w:type="dxa"/>
              <w:right w:w="144" w:type="dxa"/>
            </w:tcMar>
            <w:hideMark/>
          </w:tcPr>
          <w:p w14:paraId="60FF747C" w14:textId="3DE6FF33" w:rsidR="009C0674" w:rsidRPr="008A3351" w:rsidRDefault="009C0674" w:rsidP="00725632">
            <w:pPr>
              <w:spacing w:before="0" w:after="0"/>
              <w:rPr>
                <w:sz w:val="24"/>
                <w:lang w:val="fr-CA"/>
              </w:rPr>
            </w:pPr>
            <w:r w:rsidRPr="008A3351">
              <w:rPr>
                <w:sz w:val="24"/>
                <w:lang w:val="fr-CA"/>
              </w:rPr>
              <w:t xml:space="preserve">D’ici fin 2024, le Sénat procédera à un examen de sa politique et de ses processus d’adaptation pour les employés en situation de handicap. Lors des activités d’accueil des nouveaux employés, on les informera sur les mesures d’adaptation disponibles et les modalités pour les demander. Un guichet unique sera mis en place pour les demandes </w:t>
            </w:r>
            <w:r w:rsidR="00811DBC" w:rsidRPr="008A3351">
              <w:rPr>
                <w:sz w:val="24"/>
                <w:lang w:val="fr-CA"/>
              </w:rPr>
              <w:t>d’aménagement</w:t>
            </w:r>
            <w:r w:rsidRPr="008A3351">
              <w:rPr>
                <w:sz w:val="24"/>
                <w:lang w:val="fr-CA"/>
              </w:rPr>
              <w:t>.</w:t>
            </w:r>
          </w:p>
        </w:tc>
        <w:tc>
          <w:tcPr>
            <w:tcW w:w="1530" w:type="dxa"/>
            <w:tcMar>
              <w:top w:w="144" w:type="dxa"/>
              <w:left w:w="144" w:type="dxa"/>
              <w:bottom w:w="144" w:type="dxa"/>
              <w:right w:w="144" w:type="dxa"/>
            </w:tcMar>
            <w:hideMark/>
          </w:tcPr>
          <w:p w14:paraId="4324A9F7" w14:textId="77777777" w:rsidR="009C0674" w:rsidRPr="008A3351" w:rsidRDefault="009C067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2024</w:t>
            </w:r>
          </w:p>
        </w:tc>
      </w:tr>
      <w:tr w:rsidR="009C0674" w:rsidRPr="008A3351" w14:paraId="37AF8C8B" w14:textId="77777777" w:rsidTr="00725632">
        <w:trPr>
          <w:trHeight w:val="360"/>
        </w:trPr>
        <w:tc>
          <w:tcPr>
            <w:tcW w:w="7915" w:type="dxa"/>
            <w:tcMar>
              <w:top w:w="144" w:type="dxa"/>
              <w:left w:w="144" w:type="dxa"/>
              <w:bottom w:w="144" w:type="dxa"/>
              <w:right w:w="144" w:type="dxa"/>
            </w:tcMar>
          </w:tcPr>
          <w:p w14:paraId="4111DE6E" w14:textId="1F28DC3F" w:rsidR="009C0674" w:rsidRPr="008A3351" w:rsidRDefault="009C067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 xml:space="preserve">D’ici fin 2024, le Sénat veillera à ce que tout le personnel existant chargé des événements ait reçu une formation pour savoir comment offrir et fournir une assistance aux participants en situation de handicap. Il veillera également à ce </w:t>
            </w:r>
            <w:r w:rsidRPr="008A3351">
              <w:rPr>
                <w:rFonts w:ascii="Calibri" w:hAnsi="Calibri"/>
                <w:color w:val="000000"/>
                <w:spacing w:val="-2"/>
                <w:sz w:val="24"/>
                <w:lang w:val="fr-CA"/>
              </w:rPr>
              <w:t>que cette formation fasse partie du processus d’accueil standard de tout nouvel</w:t>
            </w:r>
            <w:r w:rsidRPr="008A3351">
              <w:rPr>
                <w:rFonts w:ascii="Calibri" w:hAnsi="Calibri"/>
                <w:color w:val="000000"/>
                <w:sz w:val="24"/>
                <w:lang w:val="fr-CA"/>
              </w:rPr>
              <w:t xml:space="preserve"> employé de l’</w:t>
            </w:r>
            <w:r w:rsidR="000D3B04" w:rsidRPr="008A3351">
              <w:rPr>
                <w:rFonts w:ascii="Calibri" w:hAnsi="Calibri"/>
                <w:color w:val="000000"/>
                <w:sz w:val="24"/>
                <w:lang w:val="fr-CA"/>
              </w:rPr>
              <w:t>a</w:t>
            </w:r>
            <w:r w:rsidRPr="008A3351">
              <w:rPr>
                <w:rFonts w:ascii="Calibri" w:hAnsi="Calibri"/>
                <w:color w:val="000000"/>
                <w:sz w:val="24"/>
                <w:lang w:val="fr-CA"/>
              </w:rPr>
              <w:t>dministration du Sénat chargé de planifier ou d’organiser des événements.</w:t>
            </w:r>
          </w:p>
        </w:tc>
        <w:tc>
          <w:tcPr>
            <w:tcW w:w="1530" w:type="dxa"/>
            <w:tcMar>
              <w:top w:w="144" w:type="dxa"/>
              <w:left w:w="144" w:type="dxa"/>
              <w:bottom w:w="144" w:type="dxa"/>
              <w:right w:w="144" w:type="dxa"/>
            </w:tcMar>
          </w:tcPr>
          <w:p w14:paraId="658EF08F" w14:textId="77777777" w:rsidR="009C0674" w:rsidRPr="008A3351" w:rsidRDefault="009C067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2024</w:t>
            </w:r>
          </w:p>
        </w:tc>
      </w:tr>
      <w:tr w:rsidR="009C0674" w:rsidRPr="008A3351" w14:paraId="47412AB6" w14:textId="77777777" w:rsidTr="00725632">
        <w:trPr>
          <w:trHeight w:val="360"/>
        </w:trPr>
        <w:tc>
          <w:tcPr>
            <w:tcW w:w="7915" w:type="dxa"/>
            <w:tcMar>
              <w:top w:w="144" w:type="dxa"/>
              <w:left w:w="144" w:type="dxa"/>
              <w:bottom w:w="144" w:type="dxa"/>
              <w:right w:w="144" w:type="dxa"/>
            </w:tcMar>
          </w:tcPr>
          <w:p w14:paraId="64AF8E3B" w14:textId="397C773E" w:rsidR="009C0674" w:rsidRPr="008A3351" w:rsidRDefault="009C067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 xml:space="preserve">D’ici fin 2024, le Sénat élaborera une trousse à outils </w:t>
            </w:r>
            <w:r w:rsidR="00811DBC" w:rsidRPr="008A3351">
              <w:rPr>
                <w:rFonts w:ascii="Calibri" w:hAnsi="Calibri"/>
                <w:color w:val="000000"/>
                <w:sz w:val="24"/>
                <w:lang w:val="fr-CA"/>
              </w:rPr>
              <w:t>pour</w:t>
            </w:r>
            <w:r w:rsidRPr="008A3351">
              <w:rPr>
                <w:rFonts w:ascii="Calibri" w:hAnsi="Calibri"/>
                <w:color w:val="000000"/>
                <w:sz w:val="24"/>
                <w:lang w:val="fr-CA"/>
              </w:rPr>
              <w:t xml:space="preserve"> </w:t>
            </w:r>
            <w:r w:rsidRPr="008A3351">
              <w:rPr>
                <w:rFonts w:ascii="Calibri" w:hAnsi="Calibri"/>
                <w:color w:val="000000"/>
                <w:spacing w:val="-2"/>
                <w:sz w:val="24"/>
                <w:lang w:val="fr-CA"/>
              </w:rPr>
              <w:t>demander un sous-titrage en direct ou une interprétation en langue des signes.</w:t>
            </w:r>
          </w:p>
        </w:tc>
        <w:tc>
          <w:tcPr>
            <w:tcW w:w="1530" w:type="dxa"/>
            <w:tcMar>
              <w:top w:w="144" w:type="dxa"/>
              <w:left w:w="144" w:type="dxa"/>
              <w:bottom w:w="144" w:type="dxa"/>
              <w:right w:w="144" w:type="dxa"/>
            </w:tcMar>
          </w:tcPr>
          <w:p w14:paraId="3DF05031" w14:textId="77777777" w:rsidR="009C0674" w:rsidRPr="008A3351" w:rsidRDefault="009C067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2024</w:t>
            </w:r>
          </w:p>
        </w:tc>
      </w:tr>
      <w:tr w:rsidR="009C0674" w:rsidRPr="008A3351" w14:paraId="0EAFC5C3" w14:textId="77777777" w:rsidTr="00725632">
        <w:trPr>
          <w:trHeight w:val="360"/>
        </w:trPr>
        <w:tc>
          <w:tcPr>
            <w:tcW w:w="7915" w:type="dxa"/>
            <w:tcMar>
              <w:top w:w="144" w:type="dxa"/>
              <w:left w:w="144" w:type="dxa"/>
              <w:bottom w:w="144" w:type="dxa"/>
              <w:right w:w="144" w:type="dxa"/>
            </w:tcMar>
          </w:tcPr>
          <w:p w14:paraId="2A1069D3" w14:textId="66582787" w:rsidR="009C0674" w:rsidRPr="008A3351" w:rsidRDefault="009C067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lastRenderedPageBreak/>
              <w:t>D’ici fin 2024, le Sénat créera un processus permettant de procéder à des examens réguliers des documents pour en vérifier l’accessibilité.</w:t>
            </w:r>
          </w:p>
        </w:tc>
        <w:tc>
          <w:tcPr>
            <w:tcW w:w="1530" w:type="dxa"/>
            <w:tcMar>
              <w:top w:w="144" w:type="dxa"/>
              <w:left w:w="144" w:type="dxa"/>
              <w:bottom w:w="144" w:type="dxa"/>
              <w:right w:w="144" w:type="dxa"/>
            </w:tcMar>
          </w:tcPr>
          <w:p w14:paraId="52B89819" w14:textId="77777777" w:rsidR="009C0674" w:rsidRPr="008A3351" w:rsidRDefault="009C067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2024</w:t>
            </w:r>
          </w:p>
        </w:tc>
      </w:tr>
      <w:tr w:rsidR="009C0674" w:rsidRPr="008A3351" w14:paraId="51EE01FF" w14:textId="77777777" w:rsidTr="00725632">
        <w:trPr>
          <w:trHeight w:val="360"/>
        </w:trPr>
        <w:tc>
          <w:tcPr>
            <w:tcW w:w="7915" w:type="dxa"/>
            <w:tcMar>
              <w:top w:w="144" w:type="dxa"/>
              <w:left w:w="144" w:type="dxa"/>
              <w:bottom w:w="144" w:type="dxa"/>
              <w:right w:w="144" w:type="dxa"/>
            </w:tcMar>
          </w:tcPr>
          <w:p w14:paraId="084272AE" w14:textId="5D30EBA1" w:rsidR="009C0674" w:rsidRPr="008A3351" w:rsidRDefault="009C067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D’ici fin 2024, le Sénat intégrera une formation sur la façon de donner des présentations accessibles dans sa formation plus large de sensibilisation à l’accessibilité qui sera déployée dans toute l’organisation (voir la section 3.8 – Initiatives à l’échelle de l’organisation).</w:t>
            </w:r>
          </w:p>
        </w:tc>
        <w:tc>
          <w:tcPr>
            <w:tcW w:w="1530" w:type="dxa"/>
            <w:tcMar>
              <w:top w:w="144" w:type="dxa"/>
              <w:left w:w="144" w:type="dxa"/>
              <w:bottom w:w="144" w:type="dxa"/>
              <w:right w:w="144" w:type="dxa"/>
            </w:tcMar>
          </w:tcPr>
          <w:p w14:paraId="78363075" w14:textId="77777777" w:rsidR="009C0674" w:rsidRPr="008A3351" w:rsidRDefault="009C067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2024</w:t>
            </w:r>
          </w:p>
        </w:tc>
      </w:tr>
      <w:tr w:rsidR="009C0674" w:rsidRPr="008A3351" w14:paraId="5A8CC22B" w14:textId="77777777" w:rsidTr="00725632">
        <w:trPr>
          <w:trHeight w:val="360"/>
        </w:trPr>
        <w:tc>
          <w:tcPr>
            <w:tcW w:w="7915" w:type="dxa"/>
            <w:tcMar>
              <w:top w:w="144" w:type="dxa"/>
              <w:left w:w="144" w:type="dxa"/>
              <w:bottom w:w="144" w:type="dxa"/>
              <w:right w:w="144" w:type="dxa"/>
            </w:tcMar>
          </w:tcPr>
          <w:p w14:paraId="32CF7977" w14:textId="6C58FE6D" w:rsidR="009C0674" w:rsidRPr="008A3351" w:rsidRDefault="009C0674" w:rsidP="00725632">
            <w:pPr>
              <w:spacing w:before="0" w:after="0"/>
              <w:rPr>
                <w:rFonts w:ascii="Calibri" w:eastAsia="Times New Roman" w:hAnsi="Calibri" w:cs="Calibri"/>
                <w:color w:val="000000"/>
                <w:sz w:val="24"/>
                <w:lang w:val="fr-CA"/>
              </w:rPr>
            </w:pPr>
            <w:r w:rsidRPr="008A3351">
              <w:rPr>
                <w:rFonts w:ascii="Calibri" w:hAnsi="Calibri"/>
                <w:color w:val="000000"/>
                <w:spacing w:val="-2"/>
                <w:sz w:val="24"/>
                <w:lang w:val="fr-CA"/>
              </w:rPr>
              <w:t>D’ici fin 2024, tous les employés de l’</w:t>
            </w:r>
            <w:r w:rsidR="00811DBC" w:rsidRPr="008A3351">
              <w:rPr>
                <w:rFonts w:ascii="Calibri" w:hAnsi="Calibri"/>
                <w:color w:val="000000"/>
                <w:spacing w:val="-2"/>
                <w:sz w:val="24"/>
                <w:lang w:val="fr-CA"/>
              </w:rPr>
              <w:t>a</w:t>
            </w:r>
            <w:r w:rsidRPr="008A3351">
              <w:rPr>
                <w:rFonts w:ascii="Calibri" w:hAnsi="Calibri"/>
                <w:color w:val="000000"/>
                <w:spacing w:val="-2"/>
                <w:sz w:val="24"/>
                <w:lang w:val="fr-CA"/>
              </w:rPr>
              <w:t>dministration du Sénat et les nouvelles</w:t>
            </w:r>
            <w:r w:rsidRPr="008A3351">
              <w:rPr>
                <w:rFonts w:ascii="Calibri" w:hAnsi="Calibri"/>
                <w:color w:val="000000"/>
                <w:sz w:val="24"/>
                <w:lang w:val="fr-CA"/>
              </w:rPr>
              <w:t xml:space="preserve"> </w:t>
            </w:r>
            <w:r w:rsidRPr="008A3351">
              <w:rPr>
                <w:rFonts w:ascii="Calibri" w:hAnsi="Calibri"/>
                <w:color w:val="000000"/>
                <w:spacing w:val="-2"/>
                <w:sz w:val="24"/>
                <w:lang w:val="fr-CA"/>
              </w:rPr>
              <w:t>recrues responsables du développement, de la mise à jour et de la maintenance</w:t>
            </w:r>
            <w:r w:rsidRPr="008A3351">
              <w:rPr>
                <w:rFonts w:ascii="Calibri" w:hAnsi="Calibri"/>
                <w:color w:val="000000"/>
                <w:sz w:val="24"/>
                <w:lang w:val="fr-CA"/>
              </w:rPr>
              <w:t xml:space="preserve"> du site Web interne ou destiné au public, ou de la création de contenu pour les médias sociaux, recevront une formation sur l’accessibilité du Web.</w:t>
            </w:r>
          </w:p>
        </w:tc>
        <w:tc>
          <w:tcPr>
            <w:tcW w:w="1530" w:type="dxa"/>
            <w:tcMar>
              <w:top w:w="144" w:type="dxa"/>
              <w:left w:w="144" w:type="dxa"/>
              <w:bottom w:w="144" w:type="dxa"/>
              <w:right w:w="144" w:type="dxa"/>
            </w:tcMar>
          </w:tcPr>
          <w:p w14:paraId="5C739E4C" w14:textId="77777777" w:rsidR="009C0674" w:rsidRPr="008A3351" w:rsidRDefault="009C067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2024</w:t>
            </w:r>
          </w:p>
        </w:tc>
      </w:tr>
      <w:tr w:rsidR="006E7234" w:rsidRPr="008A3351" w14:paraId="240E5BD6" w14:textId="77777777" w:rsidTr="00725632">
        <w:trPr>
          <w:trHeight w:val="360"/>
        </w:trPr>
        <w:tc>
          <w:tcPr>
            <w:tcW w:w="7915" w:type="dxa"/>
            <w:tcMar>
              <w:top w:w="144" w:type="dxa"/>
              <w:left w:w="144" w:type="dxa"/>
              <w:bottom w:w="144" w:type="dxa"/>
              <w:right w:w="144" w:type="dxa"/>
            </w:tcMar>
          </w:tcPr>
          <w:p w14:paraId="61D38A3C" w14:textId="79BEBF88" w:rsidR="006E7234" w:rsidRPr="008A3351" w:rsidRDefault="006E723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 xml:space="preserve">D’ici fin 2024, le Sénat créera et publiera des explications et des conseils en langage clair sur la façon de lire et de mieux comprendre certains documents de la Chambre et des comités. Ces documents d’orientation indiqueront aux lecteurs comment naviguer dans ces documents et souligneront où ils peuvent trouver des éléments d’information importants. </w:t>
            </w:r>
          </w:p>
        </w:tc>
        <w:tc>
          <w:tcPr>
            <w:tcW w:w="1530" w:type="dxa"/>
            <w:tcMar>
              <w:top w:w="144" w:type="dxa"/>
              <w:left w:w="144" w:type="dxa"/>
              <w:bottom w:w="144" w:type="dxa"/>
              <w:right w:w="144" w:type="dxa"/>
            </w:tcMar>
          </w:tcPr>
          <w:p w14:paraId="0B6B0793" w14:textId="31758EC1" w:rsidR="006E7234" w:rsidRPr="008A3351" w:rsidRDefault="006E723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2024</w:t>
            </w:r>
          </w:p>
        </w:tc>
      </w:tr>
      <w:tr w:rsidR="006E7234" w:rsidRPr="008A3351" w14:paraId="36DF55C4" w14:textId="77777777" w:rsidTr="00725632">
        <w:trPr>
          <w:trHeight w:val="360"/>
        </w:trPr>
        <w:tc>
          <w:tcPr>
            <w:tcW w:w="7915" w:type="dxa"/>
            <w:tcMar>
              <w:top w:w="144" w:type="dxa"/>
              <w:left w:w="144" w:type="dxa"/>
              <w:bottom w:w="144" w:type="dxa"/>
              <w:right w:w="144" w:type="dxa"/>
            </w:tcMar>
          </w:tcPr>
          <w:p w14:paraId="1BD72C68" w14:textId="402CFB88" w:rsidR="006E7234" w:rsidRPr="008A3351" w:rsidRDefault="006E723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D’ici fin 2024, tous les employés actuels du Sénat et les nouveaux employés qui préparent des documents recevront une formation sur la façon de rendre les documents accessibles. Cette formation portera notamment sur les cas où le format PDF doit être utilisé, les cas où il doit être évité et la manière de rendre les PDF accessibles.</w:t>
            </w:r>
          </w:p>
        </w:tc>
        <w:tc>
          <w:tcPr>
            <w:tcW w:w="1530" w:type="dxa"/>
            <w:tcMar>
              <w:top w:w="144" w:type="dxa"/>
              <w:left w:w="144" w:type="dxa"/>
              <w:bottom w:w="144" w:type="dxa"/>
              <w:right w:w="144" w:type="dxa"/>
            </w:tcMar>
          </w:tcPr>
          <w:p w14:paraId="28CF6195" w14:textId="3C54419C" w:rsidR="006E7234" w:rsidRPr="008A3351" w:rsidRDefault="006E723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2024</w:t>
            </w:r>
          </w:p>
        </w:tc>
      </w:tr>
      <w:tr w:rsidR="006E7234" w:rsidRPr="008A3351" w14:paraId="5E9FB7FB" w14:textId="77777777" w:rsidTr="00725632">
        <w:trPr>
          <w:trHeight w:val="360"/>
        </w:trPr>
        <w:tc>
          <w:tcPr>
            <w:tcW w:w="7915" w:type="dxa"/>
            <w:tcMar>
              <w:top w:w="144" w:type="dxa"/>
              <w:left w:w="144" w:type="dxa"/>
              <w:bottom w:w="144" w:type="dxa"/>
              <w:right w:w="144" w:type="dxa"/>
            </w:tcMar>
          </w:tcPr>
          <w:p w14:paraId="1C613718" w14:textId="77777777" w:rsidR="00A64BAA" w:rsidRDefault="006E7234" w:rsidP="00725632">
            <w:pPr>
              <w:spacing w:before="0" w:after="0"/>
              <w:rPr>
                <w:rFonts w:ascii="Calibri" w:hAnsi="Calibri"/>
                <w:color w:val="000000"/>
                <w:sz w:val="24"/>
                <w:lang w:val="fr-CA"/>
              </w:rPr>
            </w:pPr>
            <w:r w:rsidRPr="008A3351">
              <w:rPr>
                <w:rFonts w:ascii="Calibri" w:hAnsi="Calibri"/>
                <w:color w:val="000000"/>
                <w:sz w:val="24"/>
                <w:lang w:val="fr-CA"/>
              </w:rPr>
              <w:t>D’ici fin 2024, le Sénat mettra en place une formation de sensibilisation aux handicaps et à l’accessibilité à l’échelle de l’organisation. Cette formation sera obligatoire pour tous les membres du personnel du Sénat et fera également partie du processus d’accueil standard des nouveaux membres du personnel. Cette formation sera également disponible pour les sénateurs et couvrira notamment les sujets suivants :</w:t>
            </w:r>
          </w:p>
          <w:p w14:paraId="14C2FF82" w14:textId="3DEFF727" w:rsidR="00A64BAA" w:rsidRPr="00A64BAA" w:rsidRDefault="006E7234" w:rsidP="00725632">
            <w:pPr>
              <w:pStyle w:val="ListParagraph"/>
              <w:numPr>
                <w:ilvl w:val="0"/>
                <w:numId w:val="21"/>
              </w:numPr>
              <w:spacing w:before="0" w:after="0"/>
              <w:rPr>
                <w:rFonts w:ascii="Calibri" w:eastAsia="Times New Roman" w:hAnsi="Calibri" w:cs="Calibri"/>
                <w:color w:val="000000"/>
                <w:sz w:val="24"/>
                <w:lang w:val="fr-CA"/>
              </w:rPr>
            </w:pPr>
            <w:r w:rsidRPr="00A64BAA">
              <w:rPr>
                <w:rFonts w:ascii="Calibri" w:hAnsi="Calibri"/>
                <w:color w:val="000000"/>
                <w:sz w:val="24"/>
                <w:lang w:val="fr-CA"/>
              </w:rPr>
              <w:lastRenderedPageBreak/>
              <w:t> </w:t>
            </w:r>
            <w:proofErr w:type="gramStart"/>
            <w:r w:rsidRPr="00A64BAA">
              <w:rPr>
                <w:rFonts w:ascii="Calibri" w:hAnsi="Calibri"/>
                <w:color w:val="000000"/>
                <w:sz w:val="24"/>
                <w:lang w:val="fr-CA"/>
              </w:rPr>
              <w:t>présentation</w:t>
            </w:r>
            <w:proofErr w:type="gramEnd"/>
            <w:r w:rsidRPr="00A64BAA">
              <w:rPr>
                <w:rFonts w:ascii="Calibri" w:hAnsi="Calibri"/>
                <w:color w:val="000000"/>
                <w:sz w:val="24"/>
                <w:lang w:val="fr-CA"/>
              </w:rPr>
              <w:t xml:space="preserve"> des différents types de handicaps et des </w:t>
            </w:r>
            <w:r w:rsidR="00811DBC" w:rsidRPr="00A64BAA">
              <w:rPr>
                <w:rFonts w:ascii="Calibri" w:hAnsi="Calibri"/>
                <w:color w:val="000000"/>
                <w:sz w:val="24"/>
                <w:lang w:val="fr-CA"/>
              </w:rPr>
              <w:t xml:space="preserve">types </w:t>
            </w:r>
            <w:r w:rsidR="00F91640">
              <w:rPr>
                <w:rFonts w:ascii="Calibri" w:hAnsi="Calibri"/>
                <w:color w:val="000000"/>
                <w:sz w:val="24"/>
                <w:lang w:val="fr-CA"/>
              </w:rPr>
              <w:br/>
            </w:r>
            <w:r w:rsidRPr="00A64BAA">
              <w:rPr>
                <w:rFonts w:ascii="Calibri" w:hAnsi="Calibri"/>
                <w:color w:val="000000"/>
                <w:sz w:val="24"/>
                <w:lang w:val="fr-CA"/>
              </w:rPr>
              <w:t>obstacles auxquels les personnes en situation de handicap sont souvent confrontées;</w:t>
            </w:r>
          </w:p>
          <w:p w14:paraId="621F7896" w14:textId="77777777" w:rsidR="00A64BAA" w:rsidRPr="00A64BAA" w:rsidRDefault="006E7234" w:rsidP="00725632">
            <w:pPr>
              <w:pStyle w:val="ListParagraph"/>
              <w:numPr>
                <w:ilvl w:val="0"/>
                <w:numId w:val="21"/>
              </w:numPr>
              <w:spacing w:before="0" w:after="0"/>
              <w:rPr>
                <w:rFonts w:ascii="Calibri" w:eastAsia="Times New Roman" w:hAnsi="Calibri" w:cs="Calibri"/>
                <w:color w:val="000000"/>
                <w:sz w:val="24"/>
                <w:lang w:val="fr-CA"/>
              </w:rPr>
            </w:pPr>
            <w:r w:rsidRPr="00A64BAA">
              <w:rPr>
                <w:rFonts w:ascii="Calibri" w:hAnsi="Calibri"/>
                <w:color w:val="000000"/>
                <w:sz w:val="24"/>
                <w:lang w:val="fr-CA"/>
              </w:rPr>
              <w:t> </w:t>
            </w:r>
            <w:proofErr w:type="gramStart"/>
            <w:r w:rsidRPr="00A64BAA">
              <w:rPr>
                <w:rFonts w:ascii="Calibri" w:hAnsi="Calibri"/>
                <w:color w:val="000000"/>
                <w:sz w:val="24"/>
                <w:lang w:val="fr-CA"/>
              </w:rPr>
              <w:t>comment</w:t>
            </w:r>
            <w:proofErr w:type="gramEnd"/>
            <w:r w:rsidRPr="00A64BAA">
              <w:rPr>
                <w:rFonts w:ascii="Calibri" w:hAnsi="Calibri"/>
                <w:color w:val="000000"/>
                <w:sz w:val="24"/>
                <w:lang w:val="fr-CA"/>
              </w:rPr>
              <w:t xml:space="preserve"> interagir avec </w:t>
            </w:r>
            <w:r w:rsidR="00811DBC" w:rsidRPr="00A64BAA">
              <w:rPr>
                <w:rFonts w:ascii="Calibri" w:hAnsi="Calibri"/>
                <w:color w:val="000000"/>
                <w:sz w:val="24"/>
                <w:lang w:val="fr-CA"/>
              </w:rPr>
              <w:t>d</w:t>
            </w:r>
            <w:r w:rsidRPr="00A64BAA">
              <w:rPr>
                <w:rFonts w:ascii="Calibri" w:hAnsi="Calibri"/>
                <w:color w:val="000000"/>
                <w:sz w:val="24"/>
                <w:lang w:val="fr-CA"/>
              </w:rPr>
              <w:t>es personnes présentant différents types de handicaps, y compris les pratiques exemplaires de communication et la manière d’offrir de l’aide;</w:t>
            </w:r>
          </w:p>
          <w:p w14:paraId="04315981" w14:textId="77777777" w:rsidR="00A64BAA" w:rsidRPr="00A64BAA" w:rsidRDefault="006E7234" w:rsidP="00725632">
            <w:pPr>
              <w:pStyle w:val="ListParagraph"/>
              <w:numPr>
                <w:ilvl w:val="0"/>
                <w:numId w:val="21"/>
              </w:numPr>
              <w:spacing w:before="0" w:after="0"/>
              <w:rPr>
                <w:rFonts w:ascii="Calibri" w:eastAsia="Times New Roman" w:hAnsi="Calibri" w:cs="Calibri"/>
                <w:color w:val="000000"/>
                <w:sz w:val="24"/>
                <w:lang w:val="fr-CA"/>
              </w:rPr>
            </w:pPr>
            <w:proofErr w:type="gramStart"/>
            <w:r w:rsidRPr="00A64BAA">
              <w:rPr>
                <w:rFonts w:ascii="Calibri" w:hAnsi="Calibri"/>
                <w:color w:val="000000"/>
                <w:sz w:val="24"/>
                <w:lang w:val="fr-CA"/>
              </w:rPr>
              <w:t>présentation</w:t>
            </w:r>
            <w:proofErr w:type="gramEnd"/>
            <w:r w:rsidRPr="00A64BAA">
              <w:rPr>
                <w:rFonts w:ascii="Calibri" w:hAnsi="Calibri"/>
                <w:color w:val="000000"/>
                <w:sz w:val="24"/>
                <w:lang w:val="fr-CA"/>
              </w:rPr>
              <w:t xml:space="preserve"> des idées pour s’assurer que l’information, la communication et les espaces physiques sont accessibles à tou</w:t>
            </w:r>
            <w:r w:rsidR="00811DBC" w:rsidRPr="00A64BAA">
              <w:rPr>
                <w:rFonts w:ascii="Calibri" w:hAnsi="Calibri"/>
                <w:color w:val="000000"/>
                <w:sz w:val="24"/>
                <w:lang w:val="fr-CA"/>
              </w:rPr>
              <w:t>tes les personnes</w:t>
            </w:r>
            <w:r w:rsidRPr="00A64BAA">
              <w:rPr>
                <w:rFonts w:ascii="Calibri" w:hAnsi="Calibri"/>
                <w:color w:val="000000"/>
                <w:sz w:val="24"/>
                <w:lang w:val="fr-CA"/>
              </w:rPr>
              <w:t>;</w:t>
            </w:r>
          </w:p>
          <w:p w14:paraId="6501CF6C" w14:textId="51307546" w:rsidR="006E7234" w:rsidRPr="00A64BAA" w:rsidRDefault="006E7234" w:rsidP="00725632">
            <w:pPr>
              <w:pStyle w:val="ListParagraph"/>
              <w:numPr>
                <w:ilvl w:val="0"/>
                <w:numId w:val="21"/>
              </w:numPr>
              <w:spacing w:before="0" w:after="0"/>
              <w:rPr>
                <w:rFonts w:ascii="Calibri" w:eastAsia="Times New Roman" w:hAnsi="Calibri" w:cs="Calibri"/>
                <w:color w:val="000000"/>
                <w:sz w:val="24"/>
                <w:lang w:val="fr-CA"/>
              </w:rPr>
            </w:pPr>
            <w:proofErr w:type="gramStart"/>
            <w:r w:rsidRPr="00A64BAA">
              <w:rPr>
                <w:rFonts w:ascii="Calibri" w:hAnsi="Calibri"/>
                <w:color w:val="000000"/>
                <w:sz w:val="24"/>
                <w:lang w:val="fr-CA"/>
              </w:rPr>
              <w:t>informations</w:t>
            </w:r>
            <w:proofErr w:type="gramEnd"/>
            <w:r w:rsidRPr="00A64BAA">
              <w:rPr>
                <w:rFonts w:ascii="Calibri" w:hAnsi="Calibri"/>
                <w:color w:val="000000"/>
                <w:sz w:val="24"/>
                <w:lang w:val="fr-CA"/>
              </w:rPr>
              <w:t xml:space="preserve"> sur la manière d’aider les personnes en situation de handicap en cas d’urgence.</w:t>
            </w:r>
          </w:p>
        </w:tc>
        <w:tc>
          <w:tcPr>
            <w:tcW w:w="1530" w:type="dxa"/>
            <w:tcMar>
              <w:top w:w="144" w:type="dxa"/>
              <w:left w:w="144" w:type="dxa"/>
              <w:bottom w:w="144" w:type="dxa"/>
              <w:right w:w="144" w:type="dxa"/>
            </w:tcMar>
          </w:tcPr>
          <w:p w14:paraId="117F6058" w14:textId="77777777" w:rsidR="006E7234" w:rsidRPr="008A3351" w:rsidRDefault="006E723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lastRenderedPageBreak/>
              <w:t>2024</w:t>
            </w:r>
          </w:p>
        </w:tc>
      </w:tr>
      <w:tr w:rsidR="006E7234" w:rsidRPr="008A3351" w14:paraId="76572DCD" w14:textId="77777777" w:rsidTr="00725632">
        <w:trPr>
          <w:trHeight w:val="360"/>
        </w:trPr>
        <w:tc>
          <w:tcPr>
            <w:tcW w:w="7915" w:type="dxa"/>
            <w:tcMar>
              <w:top w:w="144" w:type="dxa"/>
              <w:left w:w="144" w:type="dxa"/>
              <w:bottom w:w="144" w:type="dxa"/>
              <w:right w:w="144" w:type="dxa"/>
            </w:tcMar>
            <w:hideMark/>
          </w:tcPr>
          <w:p w14:paraId="3061F1E0" w14:textId="4CA36B86" w:rsidR="006E7234" w:rsidRPr="008A3351" w:rsidRDefault="006E7234" w:rsidP="00725632">
            <w:pPr>
              <w:spacing w:before="0" w:after="0"/>
              <w:rPr>
                <w:rFonts w:ascii="Calibri" w:eastAsia="Times New Roman" w:hAnsi="Calibri" w:cs="Calibri"/>
                <w:color w:val="000000"/>
                <w:sz w:val="24"/>
                <w:lang w:val="fr-CA"/>
              </w:rPr>
            </w:pPr>
            <w:r w:rsidRPr="008A3351">
              <w:rPr>
                <w:rFonts w:ascii="Calibri" w:hAnsi="Calibri"/>
                <w:color w:val="000000"/>
                <w:spacing w:val="-2"/>
                <w:sz w:val="24"/>
                <w:lang w:val="fr-CA"/>
              </w:rPr>
              <w:t>D’ici fin 2025, le Sénat procédera à un examen des politiques, des procédure</w:t>
            </w:r>
            <w:r w:rsidRPr="008A3351">
              <w:rPr>
                <w:rFonts w:ascii="Calibri" w:hAnsi="Calibri"/>
                <w:color w:val="000000"/>
                <w:sz w:val="24"/>
                <w:lang w:val="fr-CA"/>
              </w:rPr>
              <w:t>s et des pratiques d’acquisition et de gestion des talents afin d</w:t>
            </w:r>
            <w:r w:rsidR="00267990" w:rsidRPr="008A3351">
              <w:rPr>
                <w:rFonts w:ascii="Calibri" w:hAnsi="Calibri"/>
                <w:color w:val="000000"/>
                <w:sz w:val="24"/>
                <w:lang w:val="fr-CA"/>
              </w:rPr>
              <w:t xml:space="preserve">’identifier et </w:t>
            </w:r>
            <w:r w:rsidRPr="008A3351">
              <w:rPr>
                <w:rFonts w:ascii="Calibri" w:hAnsi="Calibri"/>
                <w:color w:val="000000"/>
                <w:sz w:val="24"/>
                <w:lang w:val="fr-CA"/>
              </w:rPr>
              <w:t>d’éliminer tout obstacle pour les personnes en situation de handicap.</w:t>
            </w:r>
          </w:p>
        </w:tc>
        <w:tc>
          <w:tcPr>
            <w:tcW w:w="1530" w:type="dxa"/>
            <w:tcMar>
              <w:top w:w="144" w:type="dxa"/>
              <w:left w:w="144" w:type="dxa"/>
              <w:bottom w:w="144" w:type="dxa"/>
              <w:right w:w="144" w:type="dxa"/>
            </w:tcMar>
            <w:hideMark/>
          </w:tcPr>
          <w:p w14:paraId="3888E21C" w14:textId="77777777" w:rsidR="006E7234" w:rsidRPr="008A3351" w:rsidRDefault="006E723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2025</w:t>
            </w:r>
          </w:p>
        </w:tc>
      </w:tr>
      <w:tr w:rsidR="006E7234" w:rsidRPr="008A3351" w14:paraId="0B12A67E" w14:textId="77777777" w:rsidTr="00725632">
        <w:trPr>
          <w:trHeight w:val="360"/>
        </w:trPr>
        <w:tc>
          <w:tcPr>
            <w:tcW w:w="7915" w:type="dxa"/>
            <w:tcMar>
              <w:top w:w="144" w:type="dxa"/>
              <w:left w:w="144" w:type="dxa"/>
              <w:bottom w:w="144" w:type="dxa"/>
              <w:right w:w="144" w:type="dxa"/>
            </w:tcMar>
            <w:hideMark/>
          </w:tcPr>
          <w:p w14:paraId="09850551" w14:textId="1045F6B0" w:rsidR="006E7234" w:rsidRPr="008A3351" w:rsidRDefault="006E723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D’ici</w:t>
            </w:r>
            <w:r w:rsidR="00267990" w:rsidRPr="008A3351">
              <w:rPr>
                <w:rFonts w:ascii="Calibri" w:hAnsi="Calibri"/>
                <w:color w:val="000000"/>
                <w:sz w:val="24"/>
                <w:lang w:val="fr-CA"/>
              </w:rPr>
              <w:t xml:space="preserve"> </w:t>
            </w:r>
            <w:r w:rsidRPr="008A3351">
              <w:rPr>
                <w:rFonts w:ascii="Calibri" w:hAnsi="Calibri"/>
                <w:color w:val="000000"/>
                <w:sz w:val="24"/>
                <w:lang w:val="fr-CA"/>
              </w:rPr>
              <w:t>fin 2025, le Sénat examinera ses systèmes afin d’améliorer la collecte et le suivi des données relatives aux ressources humaines, y compris en ce qui concerne le recrutement, l’avancement et la rétention.</w:t>
            </w:r>
          </w:p>
        </w:tc>
        <w:tc>
          <w:tcPr>
            <w:tcW w:w="1530" w:type="dxa"/>
            <w:tcMar>
              <w:top w:w="144" w:type="dxa"/>
              <w:left w:w="144" w:type="dxa"/>
              <w:bottom w:w="144" w:type="dxa"/>
              <w:right w:w="144" w:type="dxa"/>
            </w:tcMar>
            <w:hideMark/>
          </w:tcPr>
          <w:p w14:paraId="4F29A102" w14:textId="77777777" w:rsidR="006E7234" w:rsidRPr="008A3351" w:rsidRDefault="006E723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2025</w:t>
            </w:r>
          </w:p>
        </w:tc>
      </w:tr>
      <w:tr w:rsidR="006E7234" w:rsidRPr="008A3351" w14:paraId="3A76ED57" w14:textId="77777777" w:rsidTr="00725632">
        <w:trPr>
          <w:trHeight w:val="360"/>
        </w:trPr>
        <w:tc>
          <w:tcPr>
            <w:tcW w:w="7915" w:type="dxa"/>
            <w:tcMar>
              <w:top w:w="144" w:type="dxa"/>
              <w:left w:w="144" w:type="dxa"/>
              <w:bottom w:w="144" w:type="dxa"/>
              <w:right w:w="144" w:type="dxa"/>
            </w:tcMar>
            <w:hideMark/>
          </w:tcPr>
          <w:p w14:paraId="6589DE4D" w14:textId="22D8E11B" w:rsidR="006E7234" w:rsidRPr="008A3351" w:rsidRDefault="006E723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 xml:space="preserve">D’ici fin 2025, le Sénat procédera à un examen approfondi de toutes les applications logicielles développées en interne ou acquises auprès de tiers afin </w:t>
            </w:r>
            <w:r w:rsidRPr="008A3351">
              <w:rPr>
                <w:rFonts w:ascii="Calibri" w:hAnsi="Calibri"/>
                <w:color w:val="000000"/>
                <w:spacing w:val="-2"/>
                <w:sz w:val="24"/>
                <w:lang w:val="fr-CA"/>
              </w:rPr>
              <w:t>d</w:t>
            </w:r>
            <w:r w:rsidR="00267990" w:rsidRPr="008A3351">
              <w:rPr>
                <w:rFonts w:ascii="Calibri" w:hAnsi="Calibri"/>
                <w:color w:val="000000"/>
                <w:spacing w:val="-2"/>
                <w:sz w:val="24"/>
                <w:lang w:val="fr-CA"/>
              </w:rPr>
              <w:t xml:space="preserve">’identifier </w:t>
            </w:r>
            <w:r w:rsidRPr="008A3351">
              <w:rPr>
                <w:rFonts w:ascii="Calibri" w:hAnsi="Calibri"/>
                <w:color w:val="000000"/>
                <w:spacing w:val="-2"/>
                <w:sz w:val="24"/>
                <w:lang w:val="fr-CA"/>
              </w:rPr>
              <w:t>tout obstacle potentiel à l’accessibilité. Un plan d’action sera élaboré</w:t>
            </w:r>
            <w:r w:rsidRPr="008A3351">
              <w:rPr>
                <w:rFonts w:ascii="Calibri" w:hAnsi="Calibri"/>
                <w:color w:val="000000"/>
                <w:sz w:val="24"/>
                <w:lang w:val="fr-CA"/>
              </w:rPr>
              <w:t xml:space="preserve"> pour éliminer tout obstacle </w:t>
            </w:r>
            <w:r w:rsidR="00267990" w:rsidRPr="008A3351">
              <w:rPr>
                <w:rFonts w:ascii="Calibri" w:hAnsi="Calibri"/>
                <w:color w:val="000000"/>
                <w:sz w:val="24"/>
                <w:lang w:val="fr-CA"/>
              </w:rPr>
              <w:t>identifié</w:t>
            </w:r>
            <w:r w:rsidRPr="008A3351">
              <w:rPr>
                <w:rFonts w:ascii="Calibri" w:hAnsi="Calibri"/>
                <w:color w:val="000000"/>
                <w:sz w:val="24"/>
                <w:lang w:val="fr-CA"/>
              </w:rPr>
              <w:t>.</w:t>
            </w:r>
          </w:p>
        </w:tc>
        <w:tc>
          <w:tcPr>
            <w:tcW w:w="1530" w:type="dxa"/>
            <w:tcMar>
              <w:top w:w="144" w:type="dxa"/>
              <w:left w:w="144" w:type="dxa"/>
              <w:bottom w:w="144" w:type="dxa"/>
              <w:right w:w="144" w:type="dxa"/>
            </w:tcMar>
            <w:hideMark/>
          </w:tcPr>
          <w:p w14:paraId="75222874" w14:textId="77777777" w:rsidR="006E7234" w:rsidRPr="008A3351" w:rsidRDefault="006E723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2025</w:t>
            </w:r>
          </w:p>
        </w:tc>
      </w:tr>
      <w:tr w:rsidR="006E7234" w:rsidRPr="008A3351" w14:paraId="1A4F8179" w14:textId="77777777" w:rsidTr="00725632">
        <w:trPr>
          <w:trHeight w:val="360"/>
        </w:trPr>
        <w:tc>
          <w:tcPr>
            <w:tcW w:w="7915" w:type="dxa"/>
            <w:tcMar>
              <w:top w:w="144" w:type="dxa"/>
              <w:left w:w="144" w:type="dxa"/>
              <w:bottom w:w="144" w:type="dxa"/>
              <w:right w:w="144" w:type="dxa"/>
            </w:tcMar>
            <w:hideMark/>
          </w:tcPr>
          <w:p w14:paraId="7F7BFE8A" w14:textId="5DEB7E98" w:rsidR="006E7234" w:rsidRPr="008A3351" w:rsidRDefault="006E723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 xml:space="preserve">D’ici fin 2025, le Sénat effectuera des tests utilisateurs des sites Web internes et publics afin de </w:t>
            </w:r>
            <w:r w:rsidR="00267990" w:rsidRPr="008A3351">
              <w:rPr>
                <w:rFonts w:ascii="Calibri" w:hAnsi="Calibri"/>
                <w:color w:val="000000"/>
                <w:sz w:val="24"/>
                <w:lang w:val="fr-CA"/>
              </w:rPr>
              <w:t>repérer</w:t>
            </w:r>
            <w:r w:rsidRPr="008A3351">
              <w:rPr>
                <w:rFonts w:ascii="Calibri" w:hAnsi="Calibri"/>
                <w:color w:val="000000"/>
                <w:sz w:val="24"/>
                <w:lang w:val="fr-CA"/>
              </w:rPr>
              <w:t xml:space="preserve"> les obstacles. Une procédure d’examen périodique de l’accessibilité des sites Web sera également établie. Dans ce </w:t>
            </w:r>
            <w:r w:rsidRPr="008A3351">
              <w:rPr>
                <w:rFonts w:ascii="Calibri" w:hAnsi="Calibri"/>
                <w:color w:val="000000"/>
                <w:spacing w:val="-2"/>
                <w:sz w:val="24"/>
                <w:lang w:val="fr-CA"/>
              </w:rPr>
              <w:t>contexte, les tests auprès des utilisateurs sont des tests d’accessibilité effectués</w:t>
            </w:r>
            <w:r w:rsidRPr="008A3351">
              <w:rPr>
                <w:rFonts w:ascii="Calibri" w:hAnsi="Calibri"/>
                <w:color w:val="000000"/>
                <w:sz w:val="24"/>
                <w:lang w:val="fr-CA"/>
              </w:rPr>
              <w:t xml:space="preserve"> par des personnes en situation de handicap qui utilisent régulièrement des technologies d’assistance.</w:t>
            </w:r>
          </w:p>
        </w:tc>
        <w:tc>
          <w:tcPr>
            <w:tcW w:w="1530" w:type="dxa"/>
            <w:tcMar>
              <w:top w:w="144" w:type="dxa"/>
              <w:left w:w="144" w:type="dxa"/>
              <w:bottom w:w="144" w:type="dxa"/>
              <w:right w:w="144" w:type="dxa"/>
            </w:tcMar>
            <w:hideMark/>
          </w:tcPr>
          <w:p w14:paraId="52E0EF77" w14:textId="3214BF39" w:rsidR="00C83E7B" w:rsidRPr="008A3351" w:rsidRDefault="006E7234" w:rsidP="00725632">
            <w:pPr>
              <w:spacing w:before="0" w:after="0"/>
              <w:rPr>
                <w:rFonts w:ascii="Calibri" w:hAnsi="Calibri"/>
                <w:color w:val="000000"/>
                <w:sz w:val="24"/>
                <w:lang w:val="fr-CA"/>
              </w:rPr>
            </w:pPr>
            <w:r w:rsidRPr="008A3351">
              <w:rPr>
                <w:rFonts w:ascii="Calibri" w:hAnsi="Calibri"/>
                <w:color w:val="000000"/>
                <w:sz w:val="24"/>
                <w:lang w:val="fr-CA"/>
              </w:rPr>
              <w:t>2025</w:t>
            </w:r>
          </w:p>
        </w:tc>
      </w:tr>
      <w:tr w:rsidR="006E7234" w:rsidRPr="008A3351" w14:paraId="3EAAC3B0" w14:textId="77777777" w:rsidTr="00725632">
        <w:trPr>
          <w:trHeight w:val="360"/>
        </w:trPr>
        <w:tc>
          <w:tcPr>
            <w:tcW w:w="7915" w:type="dxa"/>
            <w:tcMar>
              <w:top w:w="144" w:type="dxa"/>
              <w:left w:w="144" w:type="dxa"/>
              <w:bottom w:w="144" w:type="dxa"/>
              <w:right w:w="144" w:type="dxa"/>
            </w:tcMar>
            <w:hideMark/>
          </w:tcPr>
          <w:p w14:paraId="24BCD6DE" w14:textId="5AF78988" w:rsidR="006E7234" w:rsidRPr="008A3351" w:rsidRDefault="006E723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lastRenderedPageBreak/>
              <w:t>D’ici fin 2025, le Sénat effectuera une évaluation des processus parlementaires afin de trouver s’il existe d’autres obstacles potentiels pour les personnes en situation de handicap.</w:t>
            </w:r>
          </w:p>
        </w:tc>
        <w:tc>
          <w:tcPr>
            <w:tcW w:w="1530" w:type="dxa"/>
            <w:tcMar>
              <w:top w:w="144" w:type="dxa"/>
              <w:left w:w="144" w:type="dxa"/>
              <w:bottom w:w="144" w:type="dxa"/>
              <w:right w:w="144" w:type="dxa"/>
            </w:tcMar>
            <w:hideMark/>
          </w:tcPr>
          <w:p w14:paraId="7B8BD657" w14:textId="77777777" w:rsidR="006E7234" w:rsidRPr="008A3351" w:rsidRDefault="006E723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2025</w:t>
            </w:r>
          </w:p>
        </w:tc>
      </w:tr>
      <w:tr w:rsidR="00C83E7B" w:rsidRPr="008A3351" w14:paraId="179387C3" w14:textId="77777777" w:rsidTr="00725632">
        <w:trPr>
          <w:trHeight w:val="360"/>
        </w:trPr>
        <w:tc>
          <w:tcPr>
            <w:tcW w:w="7915" w:type="dxa"/>
            <w:tcMar>
              <w:top w:w="144" w:type="dxa"/>
              <w:left w:w="144" w:type="dxa"/>
              <w:bottom w:w="144" w:type="dxa"/>
              <w:right w:w="144" w:type="dxa"/>
            </w:tcMar>
          </w:tcPr>
          <w:p w14:paraId="4DD5629B" w14:textId="07B0413D" w:rsidR="00C83E7B" w:rsidRPr="008A3351" w:rsidRDefault="00C83E7B" w:rsidP="00725632">
            <w:pPr>
              <w:spacing w:before="0" w:after="0"/>
              <w:rPr>
                <w:rFonts w:ascii="Calibri" w:hAnsi="Calibri"/>
                <w:color w:val="000000"/>
                <w:sz w:val="24"/>
                <w:lang w:val="fr-CA"/>
              </w:rPr>
            </w:pPr>
            <w:r w:rsidRPr="008A3351">
              <w:rPr>
                <w:rFonts w:ascii="Calibri" w:hAnsi="Calibri"/>
                <w:color w:val="000000"/>
                <w:sz w:val="24"/>
                <w:lang w:val="fr-CA"/>
              </w:rPr>
              <w:t>D’ici fin 2025, le Sénat mettra en place des annonces automatiques d’arrêt sonores et visuelles (affichage par texte) dans toutes les navettes.</w:t>
            </w:r>
          </w:p>
        </w:tc>
        <w:tc>
          <w:tcPr>
            <w:tcW w:w="1530" w:type="dxa"/>
            <w:tcMar>
              <w:top w:w="144" w:type="dxa"/>
              <w:left w:w="144" w:type="dxa"/>
              <w:bottom w:w="144" w:type="dxa"/>
              <w:right w:w="144" w:type="dxa"/>
            </w:tcMar>
          </w:tcPr>
          <w:p w14:paraId="0E34B86B" w14:textId="54D7600A" w:rsidR="00C83E7B" w:rsidRPr="008A3351" w:rsidRDefault="00C83E7B" w:rsidP="00725632">
            <w:pPr>
              <w:spacing w:before="0" w:after="0"/>
              <w:rPr>
                <w:rFonts w:ascii="Calibri" w:hAnsi="Calibri"/>
                <w:color w:val="000000"/>
                <w:sz w:val="24"/>
                <w:lang w:val="fr-CA"/>
              </w:rPr>
            </w:pPr>
            <w:r w:rsidRPr="008A3351">
              <w:rPr>
                <w:rFonts w:ascii="Calibri" w:hAnsi="Calibri"/>
                <w:color w:val="000000"/>
                <w:sz w:val="24"/>
                <w:lang w:val="fr-CA"/>
              </w:rPr>
              <w:t>2025</w:t>
            </w:r>
          </w:p>
        </w:tc>
      </w:tr>
      <w:tr w:rsidR="006E7234" w:rsidRPr="008A3351" w14:paraId="29D49F7E" w14:textId="77777777" w:rsidTr="00725632">
        <w:trPr>
          <w:trHeight w:val="360"/>
        </w:trPr>
        <w:tc>
          <w:tcPr>
            <w:tcW w:w="7915" w:type="dxa"/>
            <w:tcMar>
              <w:top w:w="144" w:type="dxa"/>
              <w:left w:w="144" w:type="dxa"/>
              <w:bottom w:w="144" w:type="dxa"/>
              <w:right w:w="144" w:type="dxa"/>
            </w:tcMar>
            <w:hideMark/>
          </w:tcPr>
          <w:p w14:paraId="584096B4" w14:textId="77777777" w:rsidR="00F91640" w:rsidRDefault="006E7234" w:rsidP="00725632">
            <w:pPr>
              <w:spacing w:before="0" w:after="0"/>
              <w:rPr>
                <w:rFonts w:ascii="Calibri" w:hAnsi="Calibri"/>
                <w:color w:val="000000"/>
                <w:sz w:val="24"/>
                <w:lang w:val="fr-CA"/>
              </w:rPr>
            </w:pPr>
            <w:r w:rsidRPr="008A3351">
              <w:rPr>
                <w:rFonts w:ascii="Calibri" w:hAnsi="Calibri"/>
                <w:color w:val="000000"/>
                <w:sz w:val="24"/>
                <w:lang w:val="fr-CA"/>
              </w:rPr>
              <w:t>D’ici fin 2025, le Sénat élaborera une trousse d’outils sur l’accessibilité à l’intention des sénateurs et leur personnel. Cette trousse offrira une formation et des conseils pour intégrer les pratiques exemplaires en matière d’accessibilité dans les activités qu’ils entreprennent en dehors de la Chambre et des comités. Cette trousse à outils peut comprendre :</w:t>
            </w:r>
          </w:p>
          <w:p w14:paraId="704B7A8B" w14:textId="23B90066" w:rsidR="00F91640" w:rsidRPr="00F91640" w:rsidRDefault="006E7234" w:rsidP="00725632">
            <w:pPr>
              <w:pStyle w:val="ListParagraph"/>
              <w:numPr>
                <w:ilvl w:val="0"/>
                <w:numId w:val="22"/>
              </w:numPr>
              <w:spacing w:before="0" w:after="0"/>
              <w:rPr>
                <w:rFonts w:ascii="Calibri" w:eastAsia="Times New Roman" w:hAnsi="Calibri" w:cs="Calibri"/>
                <w:color w:val="000000"/>
                <w:sz w:val="24"/>
                <w:lang w:val="fr-CA"/>
              </w:rPr>
            </w:pPr>
            <w:proofErr w:type="gramStart"/>
            <w:r w:rsidRPr="00F91640">
              <w:rPr>
                <w:rFonts w:ascii="Calibri" w:hAnsi="Calibri"/>
                <w:color w:val="000000"/>
                <w:sz w:val="24"/>
                <w:lang w:val="fr-CA"/>
              </w:rPr>
              <w:t>une</w:t>
            </w:r>
            <w:proofErr w:type="gramEnd"/>
            <w:r w:rsidRPr="00F91640">
              <w:rPr>
                <w:rFonts w:ascii="Calibri" w:hAnsi="Calibri"/>
                <w:color w:val="000000"/>
                <w:sz w:val="24"/>
                <w:lang w:val="fr-CA"/>
              </w:rPr>
              <w:t xml:space="preserve"> formation de base de sensibilisation à l’accessibilité et des </w:t>
            </w:r>
            <w:r w:rsidR="00F91640">
              <w:rPr>
                <w:rFonts w:ascii="Calibri" w:hAnsi="Calibri"/>
                <w:color w:val="000000"/>
                <w:sz w:val="24"/>
                <w:lang w:val="fr-CA"/>
              </w:rPr>
              <w:br/>
            </w:r>
            <w:r w:rsidRPr="00F91640">
              <w:rPr>
                <w:rFonts w:ascii="Calibri" w:hAnsi="Calibri"/>
                <w:color w:val="000000"/>
                <w:sz w:val="24"/>
                <w:lang w:val="fr-CA"/>
              </w:rPr>
              <w:t>conseils sur la manière d’interagir avec les personnes présentant différents handicaps;</w:t>
            </w:r>
          </w:p>
          <w:p w14:paraId="3F305D73" w14:textId="77777777" w:rsidR="00F91640" w:rsidRPr="00F91640" w:rsidRDefault="006E7234" w:rsidP="00725632">
            <w:pPr>
              <w:pStyle w:val="ListParagraph"/>
              <w:numPr>
                <w:ilvl w:val="0"/>
                <w:numId w:val="22"/>
              </w:numPr>
              <w:spacing w:before="0" w:after="0"/>
              <w:rPr>
                <w:rFonts w:ascii="Calibri" w:eastAsia="Times New Roman" w:hAnsi="Calibri" w:cs="Calibri"/>
                <w:color w:val="000000"/>
                <w:sz w:val="24"/>
                <w:lang w:val="fr-CA"/>
              </w:rPr>
            </w:pPr>
            <w:proofErr w:type="gramStart"/>
            <w:r w:rsidRPr="00F91640">
              <w:rPr>
                <w:rFonts w:ascii="Calibri" w:hAnsi="Calibri"/>
                <w:color w:val="000000"/>
                <w:sz w:val="24"/>
                <w:lang w:val="fr-CA"/>
              </w:rPr>
              <w:t>des</w:t>
            </w:r>
            <w:proofErr w:type="gramEnd"/>
            <w:r w:rsidRPr="00F91640">
              <w:rPr>
                <w:rFonts w:ascii="Calibri" w:hAnsi="Calibri"/>
                <w:color w:val="000000"/>
                <w:sz w:val="24"/>
                <w:lang w:val="fr-CA"/>
              </w:rPr>
              <w:t xml:space="preserve"> conseils pour accueillir et présider des réunions et des événements de manière accessible et pour faire des présentations accessibles;</w:t>
            </w:r>
          </w:p>
          <w:p w14:paraId="4DD469F9" w14:textId="77777777" w:rsidR="00F91640" w:rsidRPr="00F91640" w:rsidRDefault="006E7234" w:rsidP="00725632">
            <w:pPr>
              <w:pStyle w:val="ListParagraph"/>
              <w:numPr>
                <w:ilvl w:val="0"/>
                <w:numId w:val="22"/>
              </w:numPr>
              <w:spacing w:before="0" w:after="0"/>
              <w:rPr>
                <w:rFonts w:ascii="Calibri" w:eastAsia="Times New Roman" w:hAnsi="Calibri" w:cs="Calibri"/>
                <w:color w:val="000000"/>
                <w:sz w:val="24"/>
                <w:lang w:val="fr-CA"/>
              </w:rPr>
            </w:pPr>
            <w:proofErr w:type="gramStart"/>
            <w:r w:rsidRPr="00F91640">
              <w:rPr>
                <w:rFonts w:ascii="Calibri" w:hAnsi="Calibri"/>
                <w:color w:val="000000"/>
                <w:sz w:val="24"/>
                <w:lang w:val="fr-CA"/>
              </w:rPr>
              <w:t>des</w:t>
            </w:r>
            <w:proofErr w:type="gramEnd"/>
            <w:r w:rsidRPr="00F91640">
              <w:rPr>
                <w:rFonts w:ascii="Calibri" w:hAnsi="Calibri"/>
                <w:color w:val="000000"/>
                <w:sz w:val="24"/>
                <w:lang w:val="fr-CA"/>
              </w:rPr>
              <w:t xml:space="preserve"> conseils pour créer des documents et des présentations PowerPoint accessibles;</w:t>
            </w:r>
          </w:p>
          <w:p w14:paraId="382208FC" w14:textId="6F9AE10F" w:rsidR="006E7234" w:rsidRPr="00F91640" w:rsidRDefault="006E7234" w:rsidP="00725632">
            <w:pPr>
              <w:pStyle w:val="ListParagraph"/>
              <w:numPr>
                <w:ilvl w:val="0"/>
                <w:numId w:val="22"/>
              </w:numPr>
              <w:spacing w:before="0" w:after="0"/>
              <w:rPr>
                <w:rFonts w:ascii="Calibri" w:eastAsia="Times New Roman" w:hAnsi="Calibri" w:cs="Calibri"/>
                <w:color w:val="000000"/>
                <w:sz w:val="24"/>
                <w:lang w:val="fr-CA"/>
              </w:rPr>
            </w:pPr>
            <w:proofErr w:type="gramStart"/>
            <w:r w:rsidRPr="00F91640">
              <w:rPr>
                <w:rFonts w:ascii="Calibri" w:hAnsi="Calibri"/>
                <w:color w:val="000000"/>
                <w:sz w:val="24"/>
                <w:lang w:val="fr-CA"/>
              </w:rPr>
              <w:t>des</w:t>
            </w:r>
            <w:proofErr w:type="gramEnd"/>
            <w:r w:rsidRPr="00F91640">
              <w:rPr>
                <w:rFonts w:ascii="Calibri" w:hAnsi="Calibri"/>
                <w:color w:val="000000"/>
                <w:sz w:val="24"/>
                <w:lang w:val="fr-CA"/>
              </w:rPr>
              <w:t xml:space="preserve"> renseignements pour s’assurer que les messages sur les médias sociaux, les mises à jour du site Web et les autres formes de communication électronique sont accessibles.</w:t>
            </w:r>
          </w:p>
        </w:tc>
        <w:tc>
          <w:tcPr>
            <w:tcW w:w="1530" w:type="dxa"/>
            <w:tcMar>
              <w:top w:w="144" w:type="dxa"/>
              <w:left w:w="144" w:type="dxa"/>
              <w:bottom w:w="144" w:type="dxa"/>
              <w:right w:w="144" w:type="dxa"/>
            </w:tcMar>
            <w:hideMark/>
          </w:tcPr>
          <w:p w14:paraId="0CBF816B" w14:textId="77777777" w:rsidR="006E7234" w:rsidRPr="008A3351" w:rsidRDefault="006E723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2025</w:t>
            </w:r>
          </w:p>
        </w:tc>
      </w:tr>
      <w:tr w:rsidR="006E7234" w:rsidRPr="008A3351" w14:paraId="5DEE72F7" w14:textId="77777777" w:rsidTr="00725632">
        <w:trPr>
          <w:trHeight w:val="360"/>
        </w:trPr>
        <w:tc>
          <w:tcPr>
            <w:tcW w:w="7915" w:type="dxa"/>
            <w:tcMar>
              <w:top w:w="144" w:type="dxa"/>
              <w:left w:w="144" w:type="dxa"/>
              <w:bottom w:w="144" w:type="dxa"/>
              <w:right w:w="144" w:type="dxa"/>
            </w:tcMar>
            <w:hideMark/>
          </w:tcPr>
          <w:p w14:paraId="5CF77266" w14:textId="2EB621D3" w:rsidR="006E7234" w:rsidRPr="008A3351" w:rsidRDefault="006E723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D’ici fin 2025, une formation sur la façon de présider ou d’animer des réunions accessibles sera élaborée et mise en œuvre dans l’ensemble de l’organisation. Cette formation sera offerte aux sénateurs, aux membres du personnel et à toute autre personne qui dirige ou préside régulièrement des réunions au Sénat. Elle visera à s’assurer que les réunions sont accessibles à tous et à définir les services d’accessibilité appropriés pour les participants en situation de handicap.</w:t>
            </w:r>
          </w:p>
        </w:tc>
        <w:tc>
          <w:tcPr>
            <w:tcW w:w="1530" w:type="dxa"/>
            <w:tcMar>
              <w:top w:w="144" w:type="dxa"/>
              <w:left w:w="144" w:type="dxa"/>
              <w:bottom w:w="144" w:type="dxa"/>
              <w:right w:w="144" w:type="dxa"/>
            </w:tcMar>
            <w:hideMark/>
          </w:tcPr>
          <w:p w14:paraId="1BEC93CA" w14:textId="77777777" w:rsidR="006E7234" w:rsidRPr="008A3351" w:rsidRDefault="006E7234" w:rsidP="00725632">
            <w:pPr>
              <w:spacing w:before="0" w:after="0"/>
              <w:rPr>
                <w:rFonts w:ascii="Calibri" w:eastAsia="Times New Roman" w:hAnsi="Calibri" w:cs="Calibri"/>
                <w:color w:val="000000"/>
                <w:sz w:val="24"/>
                <w:lang w:val="fr-CA"/>
              </w:rPr>
            </w:pPr>
            <w:r w:rsidRPr="008A3351">
              <w:rPr>
                <w:rFonts w:ascii="Calibri" w:hAnsi="Calibri"/>
                <w:color w:val="000000"/>
                <w:sz w:val="24"/>
                <w:lang w:val="fr-CA"/>
              </w:rPr>
              <w:t>2025</w:t>
            </w:r>
          </w:p>
        </w:tc>
      </w:tr>
    </w:tbl>
    <w:p w14:paraId="756D0558" w14:textId="77777777" w:rsidR="001D2C78" w:rsidRPr="008A3351" w:rsidRDefault="001D2C78" w:rsidP="00F91640">
      <w:pPr>
        <w:rPr>
          <w:lang w:val="fr-CA"/>
        </w:rPr>
      </w:pPr>
    </w:p>
    <w:sectPr w:rsidR="001D2C78" w:rsidRPr="008A3351">
      <w:footerReference w:type="default" r:id="rId2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7ED633" w14:textId="77777777" w:rsidR="00D92F7A" w:rsidRDefault="00D92F7A">
      <w:r>
        <w:separator/>
      </w:r>
    </w:p>
  </w:endnote>
  <w:endnote w:type="continuationSeparator" w:id="0">
    <w:p w14:paraId="29E980F5" w14:textId="77777777" w:rsidR="00D92F7A" w:rsidRDefault="00D92F7A">
      <w:r>
        <w:continuationSeparator/>
      </w:r>
    </w:p>
  </w:endnote>
  <w:endnote w:type="continuationNotice" w:id="1">
    <w:p w14:paraId="221DBED2" w14:textId="77777777" w:rsidR="00D92F7A" w:rsidRDefault="00D92F7A">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Light">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New Roman (Body CS)">
    <w:altName w:val="Times New Roman"/>
    <w:charset w:val="00"/>
    <w:family w:val="roman"/>
    <w:pitch w:val="variable"/>
    <w:sig w:usb0="E0002AEF" w:usb1="C0007841"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0"/>
        <w:szCs w:val="20"/>
      </w:rPr>
      <w:id w:val="-1331909610"/>
      <w:docPartObj>
        <w:docPartGallery w:val="Page Numbers (Bottom of Page)"/>
        <w:docPartUnique/>
      </w:docPartObj>
    </w:sdtPr>
    <w:sdtEndPr/>
    <w:sdtContent>
      <w:sdt>
        <w:sdtPr>
          <w:rPr>
            <w:rFonts w:cstheme="minorHAnsi"/>
            <w:sz w:val="20"/>
            <w:szCs w:val="20"/>
          </w:rPr>
          <w:id w:val="523137571"/>
          <w:docPartObj>
            <w:docPartGallery w:val="Page Numbers (Top of Page)"/>
            <w:docPartUnique/>
          </w:docPartObj>
        </w:sdtPr>
        <w:sdtEndPr/>
        <w:sdtContent>
          <w:p w14:paraId="7B9B2F9E" w14:textId="720589F6" w:rsidR="00292BF2" w:rsidRPr="00F8031A" w:rsidRDefault="007D3C3F" w:rsidP="00F8031A">
            <w:pPr>
              <w:pStyle w:val="Footer"/>
              <w:rPr>
                <w:b/>
                <w:sz w:val="20"/>
                <w:szCs w:val="20"/>
              </w:rPr>
            </w:pPr>
            <w:r>
              <w:rPr>
                <w:noProof/>
              </w:rPr>
              <mc:AlternateContent>
                <mc:Choice Requires="wps">
                  <w:drawing>
                    <wp:anchor distT="4294967295" distB="4294967295" distL="114300" distR="114300" simplePos="0" relativeHeight="251658240" behindDoc="0" locked="0" layoutInCell="1" allowOverlap="1" wp14:anchorId="36A14940" wp14:editId="08916185">
                      <wp:simplePos x="0" y="0"/>
                      <wp:positionH relativeFrom="column">
                        <wp:posOffset>1752600</wp:posOffset>
                      </wp:positionH>
                      <wp:positionV relativeFrom="paragraph">
                        <wp:posOffset>236854</wp:posOffset>
                      </wp:positionV>
                      <wp:extent cx="3479800"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479800" cy="0"/>
                              </a:xfrm>
                              <a:prstGeom prst="line">
                                <a:avLst/>
                              </a:prstGeom>
                              <a:ln>
                                <a:solidFill>
                                  <a:schemeClr val="bg1">
                                    <a:lumMod val="8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7F12A4B" id="Straight Connector 1" o:spid="_x0000_s1026" alt="&quot;&quot;"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8pt,18.65pt" to="412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" strokecolor="#d8d8d8 [2732]" strokeweight=".5pt">
                      <v:stroke joinstyle="miter"/>
                      <o:lock v:ext="edit" shapetype="f"/>
                    </v:line>
                  </w:pict>
                </mc:Fallback>
              </mc:AlternateContent>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theme="minorHAnsi"/>
        <w:sz w:val="20"/>
        <w:szCs w:val="20"/>
      </w:rPr>
      <w:id w:val="2080863595"/>
      <w:docPartObj>
        <w:docPartGallery w:val="Page Numbers (Bottom of Page)"/>
        <w:docPartUnique/>
      </w:docPartObj>
    </w:sdtPr>
    <w:sdtEndPr/>
    <w:sdtContent>
      <w:sdt>
        <w:sdtPr>
          <w:rPr>
            <w:rFonts w:cstheme="minorHAnsi"/>
            <w:sz w:val="20"/>
            <w:szCs w:val="20"/>
          </w:rPr>
          <w:id w:val="-400209326"/>
          <w:docPartObj>
            <w:docPartGallery w:val="Page Numbers (Top of Page)"/>
            <w:docPartUnique/>
          </w:docPartObj>
        </w:sdtPr>
        <w:sdtEndPr/>
        <w:sdtContent>
          <w:p w14:paraId="42B23973" w14:textId="1D3E2884" w:rsidR="00F8031A" w:rsidRPr="00F8031A" w:rsidRDefault="00F8031A" w:rsidP="00F8031A">
            <w:pPr>
              <w:pStyle w:val="Footer"/>
              <w:rPr>
                <w:b/>
                <w:sz w:val="20"/>
                <w:szCs w:val="20"/>
              </w:rPr>
            </w:pPr>
            <w:r>
              <w:rPr>
                <w:b/>
                <w:sz w:val="20"/>
              </w:rPr>
              <w:t>RAPPORT D’ÉTAPE SUR L’ACCESSIBILITÉ 2023</w:t>
            </w:r>
            <w:r>
              <w:rPr>
                <w:b/>
                <w:sz w:val="20"/>
              </w:rPr>
              <w:tab/>
              <w:t xml:space="preserve">               </w:t>
            </w:r>
            <w:r>
              <w:rPr>
                <w:sz w:val="20"/>
              </w:rPr>
              <w:tab/>
              <w:t>Page </w:t>
            </w:r>
            <w:r w:rsidRPr="00A40BEB">
              <w:rPr>
                <w:rFonts w:cstheme="minorHAnsi"/>
                <w:b/>
                <w:sz w:val="20"/>
              </w:rPr>
              <w:fldChar w:fldCharType="begin"/>
            </w:r>
            <w:r w:rsidRPr="00A40BEB">
              <w:rPr>
                <w:rFonts w:cstheme="minorHAnsi"/>
                <w:b/>
                <w:sz w:val="20"/>
              </w:rPr>
              <w:instrText>PAGE  \* Arabic  \* MERGEFORMAT</w:instrText>
            </w:r>
            <w:r w:rsidRPr="00A40BEB">
              <w:rPr>
                <w:rFonts w:cstheme="minorHAnsi"/>
                <w:b/>
                <w:sz w:val="20"/>
              </w:rPr>
              <w:fldChar w:fldCharType="separate"/>
            </w:r>
            <w:r>
              <w:rPr>
                <w:rFonts w:cstheme="minorHAnsi"/>
                <w:b/>
                <w:sz w:val="20"/>
              </w:rPr>
              <w:t>1</w:t>
            </w:r>
            <w:r w:rsidRPr="00A40BEB">
              <w:rPr>
                <w:rFonts w:cstheme="minorHAnsi"/>
                <w:b/>
                <w:sz w:val="20"/>
              </w:rPr>
              <w:fldChar w:fldCharType="end"/>
            </w:r>
            <w:r>
              <w:rPr>
                <w:sz w:val="20"/>
              </w:rPr>
              <w:t xml:space="preserve"> de </w:t>
            </w:r>
            <w:r w:rsidR="00273DF0">
              <w:rPr>
                <w:b/>
                <w:sz w:val="20"/>
              </w:rPr>
              <w:t>3</w:t>
            </w:r>
            <w:r w:rsidR="00725632">
              <w:rPr>
                <w:b/>
                <w:sz w:val="20"/>
              </w:rPr>
              <w:t>1</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9D3FA" w14:textId="77777777" w:rsidR="00D92F7A" w:rsidRDefault="00D92F7A">
      <w:r>
        <w:separator/>
      </w:r>
    </w:p>
  </w:footnote>
  <w:footnote w:type="continuationSeparator" w:id="0">
    <w:p w14:paraId="71305F7D" w14:textId="77777777" w:rsidR="00D92F7A" w:rsidRDefault="00D92F7A">
      <w:r>
        <w:continuationSeparator/>
      </w:r>
    </w:p>
  </w:footnote>
  <w:footnote w:type="continuationNotice" w:id="1">
    <w:p w14:paraId="2211F8A1" w14:textId="77777777" w:rsidR="00D92F7A" w:rsidRDefault="00D92F7A">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BE1C0" w14:textId="300AA2AF" w:rsidR="00292BF2" w:rsidRDefault="00292BF2" w:rsidP="00A659E4">
    <w:pPr>
      <w:pStyle w:val="Header"/>
      <w:rPr>
        <w:rFonts w:eastAsia="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23D0"/>
    <w:multiLevelType w:val="hybridMultilevel"/>
    <w:tmpl w:val="420C24F8"/>
    <w:lvl w:ilvl="0" w:tplc="10090001">
      <w:start w:val="1"/>
      <w:numFmt w:val="bullet"/>
      <w:lvlText w:val=""/>
      <w:lvlJc w:val="left"/>
      <w:pPr>
        <w:ind w:left="810" w:hanging="360"/>
      </w:pPr>
      <w:rPr>
        <w:rFonts w:ascii="Symbol" w:hAnsi="Symbol" w:hint="default"/>
      </w:rPr>
    </w:lvl>
    <w:lvl w:ilvl="1" w:tplc="10090003">
      <w:start w:val="1"/>
      <w:numFmt w:val="bullet"/>
      <w:lvlText w:val="o"/>
      <w:lvlJc w:val="left"/>
      <w:pPr>
        <w:ind w:left="1530" w:hanging="360"/>
      </w:pPr>
      <w:rPr>
        <w:rFonts w:ascii="Courier New" w:hAnsi="Courier New" w:cs="Courier New" w:hint="default"/>
      </w:rPr>
    </w:lvl>
    <w:lvl w:ilvl="2" w:tplc="10090005" w:tentative="1">
      <w:start w:val="1"/>
      <w:numFmt w:val="bullet"/>
      <w:lvlText w:val=""/>
      <w:lvlJc w:val="left"/>
      <w:pPr>
        <w:ind w:left="2250" w:hanging="360"/>
      </w:pPr>
      <w:rPr>
        <w:rFonts w:ascii="Wingdings" w:hAnsi="Wingdings" w:hint="default"/>
      </w:rPr>
    </w:lvl>
    <w:lvl w:ilvl="3" w:tplc="10090001" w:tentative="1">
      <w:start w:val="1"/>
      <w:numFmt w:val="bullet"/>
      <w:lvlText w:val=""/>
      <w:lvlJc w:val="left"/>
      <w:pPr>
        <w:ind w:left="2970" w:hanging="360"/>
      </w:pPr>
      <w:rPr>
        <w:rFonts w:ascii="Symbol" w:hAnsi="Symbol" w:hint="default"/>
      </w:rPr>
    </w:lvl>
    <w:lvl w:ilvl="4" w:tplc="10090003" w:tentative="1">
      <w:start w:val="1"/>
      <w:numFmt w:val="bullet"/>
      <w:lvlText w:val="o"/>
      <w:lvlJc w:val="left"/>
      <w:pPr>
        <w:ind w:left="3690" w:hanging="360"/>
      </w:pPr>
      <w:rPr>
        <w:rFonts w:ascii="Courier New" w:hAnsi="Courier New" w:cs="Courier New" w:hint="default"/>
      </w:rPr>
    </w:lvl>
    <w:lvl w:ilvl="5" w:tplc="10090005" w:tentative="1">
      <w:start w:val="1"/>
      <w:numFmt w:val="bullet"/>
      <w:lvlText w:val=""/>
      <w:lvlJc w:val="left"/>
      <w:pPr>
        <w:ind w:left="4410" w:hanging="360"/>
      </w:pPr>
      <w:rPr>
        <w:rFonts w:ascii="Wingdings" w:hAnsi="Wingdings" w:hint="default"/>
      </w:rPr>
    </w:lvl>
    <w:lvl w:ilvl="6" w:tplc="10090001" w:tentative="1">
      <w:start w:val="1"/>
      <w:numFmt w:val="bullet"/>
      <w:lvlText w:val=""/>
      <w:lvlJc w:val="left"/>
      <w:pPr>
        <w:ind w:left="5130" w:hanging="360"/>
      </w:pPr>
      <w:rPr>
        <w:rFonts w:ascii="Symbol" w:hAnsi="Symbol" w:hint="default"/>
      </w:rPr>
    </w:lvl>
    <w:lvl w:ilvl="7" w:tplc="10090003" w:tentative="1">
      <w:start w:val="1"/>
      <w:numFmt w:val="bullet"/>
      <w:lvlText w:val="o"/>
      <w:lvlJc w:val="left"/>
      <w:pPr>
        <w:ind w:left="5850" w:hanging="360"/>
      </w:pPr>
      <w:rPr>
        <w:rFonts w:ascii="Courier New" w:hAnsi="Courier New" w:cs="Courier New" w:hint="default"/>
      </w:rPr>
    </w:lvl>
    <w:lvl w:ilvl="8" w:tplc="10090005" w:tentative="1">
      <w:start w:val="1"/>
      <w:numFmt w:val="bullet"/>
      <w:lvlText w:val=""/>
      <w:lvlJc w:val="left"/>
      <w:pPr>
        <w:ind w:left="6570" w:hanging="360"/>
      </w:pPr>
      <w:rPr>
        <w:rFonts w:ascii="Wingdings" w:hAnsi="Wingdings" w:hint="default"/>
      </w:rPr>
    </w:lvl>
  </w:abstractNum>
  <w:abstractNum w:abstractNumId="1" w15:restartNumberingAfterBreak="0">
    <w:nsid w:val="06C26D64"/>
    <w:multiLevelType w:val="hybridMultilevel"/>
    <w:tmpl w:val="D31A3EF6"/>
    <w:lvl w:ilvl="0" w:tplc="10090001">
      <w:start w:val="1"/>
      <w:numFmt w:val="bullet"/>
      <w:lvlText w:val=""/>
      <w:lvlJc w:val="left"/>
      <w:pPr>
        <w:ind w:left="781" w:hanging="360"/>
      </w:pPr>
      <w:rPr>
        <w:rFonts w:ascii="Symbol" w:hAnsi="Symbol" w:hint="default"/>
      </w:rPr>
    </w:lvl>
    <w:lvl w:ilvl="1" w:tplc="10090003">
      <w:start w:val="1"/>
      <w:numFmt w:val="bullet"/>
      <w:lvlText w:val="o"/>
      <w:lvlJc w:val="left"/>
      <w:pPr>
        <w:ind w:left="1501" w:hanging="360"/>
      </w:pPr>
      <w:rPr>
        <w:rFonts w:ascii="Courier New" w:hAnsi="Courier New" w:cs="Courier New" w:hint="default"/>
      </w:rPr>
    </w:lvl>
    <w:lvl w:ilvl="2" w:tplc="10090005" w:tentative="1">
      <w:start w:val="1"/>
      <w:numFmt w:val="bullet"/>
      <w:lvlText w:val=""/>
      <w:lvlJc w:val="left"/>
      <w:pPr>
        <w:ind w:left="2221" w:hanging="360"/>
      </w:pPr>
      <w:rPr>
        <w:rFonts w:ascii="Wingdings" w:hAnsi="Wingdings" w:hint="default"/>
      </w:rPr>
    </w:lvl>
    <w:lvl w:ilvl="3" w:tplc="10090001" w:tentative="1">
      <w:start w:val="1"/>
      <w:numFmt w:val="bullet"/>
      <w:lvlText w:val=""/>
      <w:lvlJc w:val="left"/>
      <w:pPr>
        <w:ind w:left="2941" w:hanging="360"/>
      </w:pPr>
      <w:rPr>
        <w:rFonts w:ascii="Symbol" w:hAnsi="Symbol" w:hint="default"/>
      </w:rPr>
    </w:lvl>
    <w:lvl w:ilvl="4" w:tplc="10090003" w:tentative="1">
      <w:start w:val="1"/>
      <w:numFmt w:val="bullet"/>
      <w:lvlText w:val="o"/>
      <w:lvlJc w:val="left"/>
      <w:pPr>
        <w:ind w:left="3661" w:hanging="360"/>
      </w:pPr>
      <w:rPr>
        <w:rFonts w:ascii="Courier New" w:hAnsi="Courier New" w:cs="Courier New" w:hint="default"/>
      </w:rPr>
    </w:lvl>
    <w:lvl w:ilvl="5" w:tplc="10090005" w:tentative="1">
      <w:start w:val="1"/>
      <w:numFmt w:val="bullet"/>
      <w:lvlText w:val=""/>
      <w:lvlJc w:val="left"/>
      <w:pPr>
        <w:ind w:left="4381" w:hanging="360"/>
      </w:pPr>
      <w:rPr>
        <w:rFonts w:ascii="Wingdings" w:hAnsi="Wingdings" w:hint="default"/>
      </w:rPr>
    </w:lvl>
    <w:lvl w:ilvl="6" w:tplc="10090001" w:tentative="1">
      <w:start w:val="1"/>
      <w:numFmt w:val="bullet"/>
      <w:lvlText w:val=""/>
      <w:lvlJc w:val="left"/>
      <w:pPr>
        <w:ind w:left="5101" w:hanging="360"/>
      </w:pPr>
      <w:rPr>
        <w:rFonts w:ascii="Symbol" w:hAnsi="Symbol" w:hint="default"/>
      </w:rPr>
    </w:lvl>
    <w:lvl w:ilvl="7" w:tplc="10090003" w:tentative="1">
      <w:start w:val="1"/>
      <w:numFmt w:val="bullet"/>
      <w:lvlText w:val="o"/>
      <w:lvlJc w:val="left"/>
      <w:pPr>
        <w:ind w:left="5821" w:hanging="360"/>
      </w:pPr>
      <w:rPr>
        <w:rFonts w:ascii="Courier New" w:hAnsi="Courier New" w:cs="Courier New" w:hint="default"/>
      </w:rPr>
    </w:lvl>
    <w:lvl w:ilvl="8" w:tplc="10090005" w:tentative="1">
      <w:start w:val="1"/>
      <w:numFmt w:val="bullet"/>
      <w:lvlText w:val=""/>
      <w:lvlJc w:val="left"/>
      <w:pPr>
        <w:ind w:left="6541" w:hanging="360"/>
      </w:pPr>
      <w:rPr>
        <w:rFonts w:ascii="Wingdings" w:hAnsi="Wingdings" w:hint="default"/>
      </w:rPr>
    </w:lvl>
  </w:abstractNum>
  <w:abstractNum w:abstractNumId="2" w15:restartNumberingAfterBreak="0">
    <w:nsid w:val="0B5038D3"/>
    <w:multiLevelType w:val="hybridMultilevel"/>
    <w:tmpl w:val="60D07C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8103AD"/>
    <w:multiLevelType w:val="multilevel"/>
    <w:tmpl w:val="1224468C"/>
    <w:styleLink w:val="CurrentList2"/>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4" w15:restartNumberingAfterBreak="0">
    <w:nsid w:val="0C747847"/>
    <w:multiLevelType w:val="hybridMultilevel"/>
    <w:tmpl w:val="B15EF250"/>
    <w:lvl w:ilvl="0" w:tplc="A8DA52B0">
      <w:start w:val="1"/>
      <w:numFmt w:val="bullet"/>
      <w:lvlText w:val=""/>
      <w:lvlJc w:val="left"/>
      <w:pPr>
        <w:ind w:left="720" w:hanging="360"/>
      </w:pPr>
      <w:rPr>
        <w:rFonts w:ascii="Symbol" w:hAnsi="Symbol" w:hint="default"/>
      </w:rPr>
    </w:lvl>
    <w:lvl w:ilvl="1" w:tplc="C55AC2E6">
      <w:start w:val="1"/>
      <w:numFmt w:val="bullet"/>
      <w:lvlText w:val="o"/>
      <w:lvlJc w:val="left"/>
      <w:pPr>
        <w:ind w:left="1440" w:hanging="360"/>
      </w:pPr>
      <w:rPr>
        <w:rFonts w:ascii="Courier New" w:hAnsi="Courier New" w:hint="default"/>
      </w:rPr>
    </w:lvl>
    <w:lvl w:ilvl="2" w:tplc="A7DE8678">
      <w:start w:val="1"/>
      <w:numFmt w:val="bullet"/>
      <w:lvlText w:val=""/>
      <w:lvlJc w:val="left"/>
      <w:pPr>
        <w:ind w:left="2160" w:hanging="360"/>
      </w:pPr>
      <w:rPr>
        <w:rFonts w:ascii="Wingdings" w:hAnsi="Wingdings" w:hint="default"/>
      </w:rPr>
    </w:lvl>
    <w:lvl w:ilvl="3" w:tplc="52FE45DC">
      <w:start w:val="1"/>
      <w:numFmt w:val="bullet"/>
      <w:lvlText w:val=""/>
      <w:lvlJc w:val="left"/>
      <w:pPr>
        <w:ind w:left="2880" w:hanging="360"/>
      </w:pPr>
      <w:rPr>
        <w:rFonts w:ascii="Symbol" w:hAnsi="Symbol" w:hint="default"/>
      </w:rPr>
    </w:lvl>
    <w:lvl w:ilvl="4" w:tplc="55B6B864">
      <w:start w:val="1"/>
      <w:numFmt w:val="bullet"/>
      <w:lvlText w:val="o"/>
      <w:lvlJc w:val="left"/>
      <w:pPr>
        <w:ind w:left="3600" w:hanging="360"/>
      </w:pPr>
      <w:rPr>
        <w:rFonts w:ascii="Courier New" w:hAnsi="Courier New" w:hint="default"/>
      </w:rPr>
    </w:lvl>
    <w:lvl w:ilvl="5" w:tplc="62609454">
      <w:start w:val="1"/>
      <w:numFmt w:val="bullet"/>
      <w:lvlText w:val=""/>
      <w:lvlJc w:val="left"/>
      <w:pPr>
        <w:ind w:left="4320" w:hanging="360"/>
      </w:pPr>
      <w:rPr>
        <w:rFonts w:ascii="Wingdings" w:hAnsi="Wingdings" w:hint="default"/>
      </w:rPr>
    </w:lvl>
    <w:lvl w:ilvl="6" w:tplc="051E8EC8">
      <w:start w:val="1"/>
      <w:numFmt w:val="bullet"/>
      <w:lvlText w:val=""/>
      <w:lvlJc w:val="left"/>
      <w:pPr>
        <w:ind w:left="5040" w:hanging="360"/>
      </w:pPr>
      <w:rPr>
        <w:rFonts w:ascii="Symbol" w:hAnsi="Symbol" w:hint="default"/>
      </w:rPr>
    </w:lvl>
    <w:lvl w:ilvl="7" w:tplc="FE246B82">
      <w:start w:val="1"/>
      <w:numFmt w:val="bullet"/>
      <w:lvlText w:val="o"/>
      <w:lvlJc w:val="left"/>
      <w:pPr>
        <w:ind w:left="5760" w:hanging="360"/>
      </w:pPr>
      <w:rPr>
        <w:rFonts w:ascii="Courier New" w:hAnsi="Courier New" w:hint="default"/>
      </w:rPr>
    </w:lvl>
    <w:lvl w:ilvl="8" w:tplc="F28A58BC">
      <w:start w:val="1"/>
      <w:numFmt w:val="bullet"/>
      <w:lvlText w:val=""/>
      <w:lvlJc w:val="left"/>
      <w:pPr>
        <w:ind w:left="6480" w:hanging="360"/>
      </w:pPr>
      <w:rPr>
        <w:rFonts w:ascii="Wingdings" w:hAnsi="Wingdings" w:hint="default"/>
      </w:rPr>
    </w:lvl>
  </w:abstractNum>
  <w:abstractNum w:abstractNumId="5" w15:restartNumberingAfterBreak="0">
    <w:nsid w:val="0CF423F2"/>
    <w:multiLevelType w:val="hybridMultilevel"/>
    <w:tmpl w:val="79C4D61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00854E1"/>
    <w:multiLevelType w:val="hybridMultilevel"/>
    <w:tmpl w:val="D0DC3BBC"/>
    <w:lvl w:ilvl="0" w:tplc="072675D2">
      <w:start w:val="1"/>
      <w:numFmt w:val="bullet"/>
      <w:lvlText w:val=""/>
      <w:lvlJc w:val="left"/>
      <w:pPr>
        <w:ind w:left="720" w:hanging="360"/>
      </w:pPr>
      <w:rPr>
        <w:rFonts w:ascii="Symbol" w:hAnsi="Symbol" w:hint="default"/>
      </w:rPr>
    </w:lvl>
    <w:lvl w:ilvl="1" w:tplc="9E964B8A">
      <w:start w:val="1"/>
      <w:numFmt w:val="bullet"/>
      <w:lvlText w:val="o"/>
      <w:lvlJc w:val="left"/>
      <w:pPr>
        <w:ind w:left="1440" w:hanging="360"/>
      </w:pPr>
      <w:rPr>
        <w:rFonts w:ascii="Courier New" w:hAnsi="Courier New" w:hint="default"/>
      </w:rPr>
    </w:lvl>
    <w:lvl w:ilvl="2" w:tplc="62F025FE">
      <w:start w:val="1"/>
      <w:numFmt w:val="bullet"/>
      <w:lvlText w:val=""/>
      <w:lvlJc w:val="left"/>
      <w:pPr>
        <w:ind w:left="2160" w:hanging="360"/>
      </w:pPr>
      <w:rPr>
        <w:rFonts w:ascii="Wingdings" w:hAnsi="Wingdings" w:hint="default"/>
      </w:rPr>
    </w:lvl>
    <w:lvl w:ilvl="3" w:tplc="01880BDC">
      <w:start w:val="1"/>
      <w:numFmt w:val="bullet"/>
      <w:lvlText w:val=""/>
      <w:lvlJc w:val="left"/>
      <w:pPr>
        <w:ind w:left="2880" w:hanging="360"/>
      </w:pPr>
      <w:rPr>
        <w:rFonts w:ascii="Symbol" w:hAnsi="Symbol" w:hint="default"/>
      </w:rPr>
    </w:lvl>
    <w:lvl w:ilvl="4" w:tplc="7522FEAE">
      <w:start w:val="1"/>
      <w:numFmt w:val="bullet"/>
      <w:lvlText w:val="o"/>
      <w:lvlJc w:val="left"/>
      <w:pPr>
        <w:ind w:left="3600" w:hanging="360"/>
      </w:pPr>
      <w:rPr>
        <w:rFonts w:ascii="Courier New" w:hAnsi="Courier New" w:hint="default"/>
      </w:rPr>
    </w:lvl>
    <w:lvl w:ilvl="5" w:tplc="FB5ECBAA">
      <w:start w:val="1"/>
      <w:numFmt w:val="bullet"/>
      <w:lvlText w:val=""/>
      <w:lvlJc w:val="left"/>
      <w:pPr>
        <w:ind w:left="4320" w:hanging="360"/>
      </w:pPr>
      <w:rPr>
        <w:rFonts w:ascii="Wingdings" w:hAnsi="Wingdings" w:hint="default"/>
      </w:rPr>
    </w:lvl>
    <w:lvl w:ilvl="6" w:tplc="D3945206">
      <w:start w:val="1"/>
      <w:numFmt w:val="bullet"/>
      <w:lvlText w:val=""/>
      <w:lvlJc w:val="left"/>
      <w:pPr>
        <w:ind w:left="5040" w:hanging="360"/>
      </w:pPr>
      <w:rPr>
        <w:rFonts w:ascii="Symbol" w:hAnsi="Symbol" w:hint="default"/>
      </w:rPr>
    </w:lvl>
    <w:lvl w:ilvl="7" w:tplc="44AE2396">
      <w:start w:val="1"/>
      <w:numFmt w:val="bullet"/>
      <w:lvlText w:val="o"/>
      <w:lvlJc w:val="left"/>
      <w:pPr>
        <w:ind w:left="5760" w:hanging="360"/>
      </w:pPr>
      <w:rPr>
        <w:rFonts w:ascii="Courier New" w:hAnsi="Courier New" w:hint="default"/>
      </w:rPr>
    </w:lvl>
    <w:lvl w:ilvl="8" w:tplc="B82C07D4">
      <w:start w:val="1"/>
      <w:numFmt w:val="bullet"/>
      <w:lvlText w:val=""/>
      <w:lvlJc w:val="left"/>
      <w:pPr>
        <w:ind w:left="6480" w:hanging="360"/>
      </w:pPr>
      <w:rPr>
        <w:rFonts w:ascii="Wingdings" w:hAnsi="Wingdings" w:hint="default"/>
      </w:rPr>
    </w:lvl>
  </w:abstractNum>
  <w:abstractNum w:abstractNumId="7" w15:restartNumberingAfterBreak="0">
    <w:nsid w:val="13EF74E6"/>
    <w:multiLevelType w:val="multilevel"/>
    <w:tmpl w:val="AC968208"/>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41A6F69"/>
    <w:multiLevelType w:val="hybridMultilevel"/>
    <w:tmpl w:val="BC0E1056"/>
    <w:lvl w:ilvl="0" w:tplc="FFFFFFFF">
      <w:start w:val="1"/>
      <w:numFmt w:val="decimal"/>
      <w:pStyle w:val="Bodynumberedlist"/>
      <w:lvlText w:val="%1."/>
      <w:lvlJc w:val="left"/>
      <w:pPr>
        <w:ind w:left="717" w:hanging="360"/>
      </w:pPr>
      <w:rPr>
        <w:b w:val="0"/>
        <w:i w:val="0"/>
        <w:caps w:val="0"/>
        <w:strike w:val="0"/>
        <w:dstrike w:val="0"/>
        <w:vanish w:val="0"/>
        <w:color w:val="auto"/>
        <w:sz w:val="26"/>
        <w:vertAlign w:val="baseline"/>
      </w:rPr>
    </w:lvl>
    <w:lvl w:ilvl="1" w:tplc="10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8A1FCB"/>
    <w:multiLevelType w:val="hybridMultilevel"/>
    <w:tmpl w:val="C49E6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83E0F99"/>
    <w:multiLevelType w:val="hybridMultilevel"/>
    <w:tmpl w:val="133C46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12A4FB8"/>
    <w:multiLevelType w:val="multilevel"/>
    <w:tmpl w:val="257A43BC"/>
    <w:styleLink w:val="CurrentList4"/>
    <w:lvl w:ilvl="0">
      <w:start w:val="1"/>
      <w:numFmt w:val="decimal"/>
      <w:lvlText w:val="%1."/>
      <w:lvlJc w:val="left"/>
      <w:pPr>
        <w:ind w:left="720" w:hanging="360"/>
      </w:pPr>
      <w:rPr>
        <w:rFonts w:ascii="Arial Nova Light" w:eastAsiaTheme="minorHAnsi" w:hAnsi="Arial Nova Light" w:cstheme="minorBidi" w:hint="default"/>
        <w:b w:val="0"/>
        <w:bCs w:val="0"/>
        <w:i w:val="0"/>
        <w:iCs w:val="0"/>
      </w:rPr>
    </w:lvl>
    <w:lvl w:ilvl="1">
      <w:start w:val="7"/>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4EFE1B11"/>
    <w:multiLevelType w:val="multilevel"/>
    <w:tmpl w:val="96A84250"/>
    <w:styleLink w:val="CurrentList3"/>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3" w15:restartNumberingAfterBreak="0">
    <w:nsid w:val="55381815"/>
    <w:multiLevelType w:val="multilevel"/>
    <w:tmpl w:val="789428FC"/>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none"/>
      <w:lvlText w:val=""/>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0417EC"/>
    <w:multiLevelType w:val="multilevel"/>
    <w:tmpl w:val="257A43BC"/>
    <w:styleLink w:val="CurrentList5"/>
    <w:lvl w:ilvl="0">
      <w:start w:val="1"/>
      <w:numFmt w:val="decimal"/>
      <w:lvlText w:val="%1."/>
      <w:lvlJc w:val="left"/>
      <w:pPr>
        <w:ind w:left="720" w:hanging="360"/>
      </w:pPr>
      <w:rPr>
        <w:rFonts w:ascii="Arial Nova Light" w:eastAsiaTheme="minorHAnsi" w:hAnsi="Arial Nova Light" w:cstheme="minorBidi" w:hint="default"/>
        <w:b w:val="0"/>
        <w:bCs w:val="0"/>
        <w:i w:val="0"/>
        <w:iCs w:val="0"/>
      </w:rPr>
    </w:lvl>
    <w:lvl w:ilvl="1">
      <w:start w:val="7"/>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ACF5DBD"/>
    <w:multiLevelType w:val="hybridMultilevel"/>
    <w:tmpl w:val="5DFE68EC"/>
    <w:lvl w:ilvl="0" w:tplc="CFE07C50">
      <w:start w:val="1"/>
      <w:numFmt w:val="bullet"/>
      <w:pStyle w:val="Bodybullets"/>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71F511A0"/>
    <w:multiLevelType w:val="multilevel"/>
    <w:tmpl w:val="2FAE94BA"/>
    <w:lvl w:ilvl="0">
      <w:start w:val="1"/>
      <w:numFmt w:val="decimal"/>
      <w:pStyle w:val="Heading1"/>
      <w:lvlText w:val="%1"/>
      <w:lvlJc w:val="left"/>
      <w:pPr>
        <w:ind w:left="1512" w:hanging="432"/>
      </w:pPr>
      <w:rPr>
        <w:rFonts w:hint="default"/>
        <w:i w:val="0"/>
        <w:iCs w:val="0"/>
      </w:rPr>
    </w:lvl>
    <w:lvl w:ilvl="1">
      <w:start w:val="1"/>
      <w:numFmt w:val="decimal"/>
      <w:pStyle w:val="Heading2"/>
      <w:lvlText w:val="%1.%2"/>
      <w:lvlJc w:val="left"/>
      <w:pPr>
        <w:ind w:left="576" w:hanging="576"/>
      </w:pPr>
      <w:rPr>
        <w:rFonts w:hint="default"/>
      </w:rPr>
    </w:lvl>
    <w:lvl w:ilvl="2">
      <w:start w:val="1"/>
      <w:numFmt w:val="none"/>
      <w:pStyle w:val="Heading3"/>
      <w:lvlText w:val=""/>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16cid:durableId="767120360">
    <w:abstractNumId w:val="6"/>
  </w:num>
  <w:num w:numId="2" w16cid:durableId="892695883">
    <w:abstractNumId w:val="4"/>
  </w:num>
  <w:num w:numId="3" w16cid:durableId="1317303773">
    <w:abstractNumId w:val="16"/>
  </w:num>
  <w:num w:numId="4" w16cid:durableId="678846547">
    <w:abstractNumId w:val="13"/>
  </w:num>
  <w:num w:numId="5" w16cid:durableId="1374647477">
    <w:abstractNumId w:val="15"/>
  </w:num>
  <w:num w:numId="6" w16cid:durableId="1709452776">
    <w:abstractNumId w:val="3"/>
  </w:num>
  <w:num w:numId="7" w16cid:durableId="1335763201">
    <w:abstractNumId w:val="12"/>
  </w:num>
  <w:num w:numId="8" w16cid:durableId="1276868929">
    <w:abstractNumId w:val="8"/>
  </w:num>
  <w:num w:numId="9" w16cid:durableId="1630671770">
    <w:abstractNumId w:val="11"/>
  </w:num>
  <w:num w:numId="10" w16cid:durableId="916523709">
    <w:abstractNumId w:val="14"/>
  </w:num>
  <w:num w:numId="11" w16cid:durableId="1245650957">
    <w:abstractNumId w:val="8"/>
  </w:num>
  <w:num w:numId="12" w16cid:durableId="2033871182">
    <w:abstractNumId w:val="8"/>
  </w:num>
  <w:num w:numId="13" w16cid:durableId="178740770">
    <w:abstractNumId w:val="8"/>
  </w:num>
  <w:num w:numId="14" w16cid:durableId="122970200">
    <w:abstractNumId w:val="8"/>
  </w:num>
  <w:num w:numId="15" w16cid:durableId="1153914153">
    <w:abstractNumId w:val="8"/>
  </w:num>
  <w:num w:numId="16" w16cid:durableId="792476846">
    <w:abstractNumId w:val="9"/>
  </w:num>
  <w:num w:numId="17" w16cid:durableId="66071164">
    <w:abstractNumId w:val="1"/>
  </w:num>
  <w:num w:numId="18" w16cid:durableId="875777275">
    <w:abstractNumId w:val="5"/>
  </w:num>
  <w:num w:numId="19" w16cid:durableId="1108935005">
    <w:abstractNumId w:val="0"/>
  </w:num>
  <w:num w:numId="20" w16cid:durableId="1903131678">
    <w:abstractNumId w:val="7"/>
  </w:num>
  <w:num w:numId="21" w16cid:durableId="1422986150">
    <w:abstractNumId w:val="2"/>
  </w:num>
  <w:num w:numId="22" w16cid:durableId="1095902851">
    <w:abstractNumId w:val="1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073"/>
    <w:rsid w:val="00001315"/>
    <w:rsid w:val="00001E98"/>
    <w:rsid w:val="000033A4"/>
    <w:rsid w:val="000064EA"/>
    <w:rsid w:val="00007E2F"/>
    <w:rsid w:val="00011DD6"/>
    <w:rsid w:val="00012645"/>
    <w:rsid w:val="00012E4A"/>
    <w:rsid w:val="00013931"/>
    <w:rsid w:val="000149A7"/>
    <w:rsid w:val="00016C58"/>
    <w:rsid w:val="00017106"/>
    <w:rsid w:val="00017F5B"/>
    <w:rsid w:val="00024424"/>
    <w:rsid w:val="000257E7"/>
    <w:rsid w:val="00030CC7"/>
    <w:rsid w:val="00032060"/>
    <w:rsid w:val="00035968"/>
    <w:rsid w:val="00035AC3"/>
    <w:rsid w:val="00036EDD"/>
    <w:rsid w:val="00041529"/>
    <w:rsid w:val="00043DEB"/>
    <w:rsid w:val="00045B4E"/>
    <w:rsid w:val="0004730A"/>
    <w:rsid w:val="00047A24"/>
    <w:rsid w:val="000532EA"/>
    <w:rsid w:val="000685DF"/>
    <w:rsid w:val="0007218B"/>
    <w:rsid w:val="0007274D"/>
    <w:rsid w:val="00075084"/>
    <w:rsid w:val="00081615"/>
    <w:rsid w:val="00081EA0"/>
    <w:rsid w:val="0008458D"/>
    <w:rsid w:val="000854F0"/>
    <w:rsid w:val="00086A9D"/>
    <w:rsid w:val="00087C90"/>
    <w:rsid w:val="00090579"/>
    <w:rsid w:val="00093888"/>
    <w:rsid w:val="00093D3C"/>
    <w:rsid w:val="00094687"/>
    <w:rsid w:val="00094FC8"/>
    <w:rsid w:val="000965D4"/>
    <w:rsid w:val="000974CB"/>
    <w:rsid w:val="000A0F40"/>
    <w:rsid w:val="000A3CB4"/>
    <w:rsid w:val="000A4196"/>
    <w:rsid w:val="000A5A66"/>
    <w:rsid w:val="000A6A9B"/>
    <w:rsid w:val="000A7138"/>
    <w:rsid w:val="000B2E77"/>
    <w:rsid w:val="000B7F77"/>
    <w:rsid w:val="000B7FA0"/>
    <w:rsid w:val="000C30DC"/>
    <w:rsid w:val="000C5577"/>
    <w:rsid w:val="000C68B5"/>
    <w:rsid w:val="000C740B"/>
    <w:rsid w:val="000C77B0"/>
    <w:rsid w:val="000D1113"/>
    <w:rsid w:val="000D1AB1"/>
    <w:rsid w:val="000D1CB8"/>
    <w:rsid w:val="000D3B04"/>
    <w:rsid w:val="000D5919"/>
    <w:rsid w:val="000D6CEA"/>
    <w:rsid w:val="000E50C4"/>
    <w:rsid w:val="000E68BD"/>
    <w:rsid w:val="000F0D6F"/>
    <w:rsid w:val="000F2211"/>
    <w:rsid w:val="000F2341"/>
    <w:rsid w:val="000F700A"/>
    <w:rsid w:val="001001A5"/>
    <w:rsid w:val="00100D92"/>
    <w:rsid w:val="0010210D"/>
    <w:rsid w:val="00110C53"/>
    <w:rsid w:val="0011352F"/>
    <w:rsid w:val="0011495E"/>
    <w:rsid w:val="00114C8A"/>
    <w:rsid w:val="00122C9D"/>
    <w:rsid w:val="00127501"/>
    <w:rsid w:val="00131381"/>
    <w:rsid w:val="0013161A"/>
    <w:rsid w:val="001344D1"/>
    <w:rsid w:val="00134E8D"/>
    <w:rsid w:val="00136FC9"/>
    <w:rsid w:val="001415D2"/>
    <w:rsid w:val="00145686"/>
    <w:rsid w:val="001459E1"/>
    <w:rsid w:val="001502A7"/>
    <w:rsid w:val="001526A0"/>
    <w:rsid w:val="00152748"/>
    <w:rsid w:val="00152C90"/>
    <w:rsid w:val="00153832"/>
    <w:rsid w:val="00156232"/>
    <w:rsid w:val="00157D8E"/>
    <w:rsid w:val="0016090E"/>
    <w:rsid w:val="001650CB"/>
    <w:rsid w:val="00165C9F"/>
    <w:rsid w:val="00170BC5"/>
    <w:rsid w:val="00171212"/>
    <w:rsid w:val="00172FD2"/>
    <w:rsid w:val="00173994"/>
    <w:rsid w:val="00173ABE"/>
    <w:rsid w:val="00183508"/>
    <w:rsid w:val="00183724"/>
    <w:rsid w:val="00184DEE"/>
    <w:rsid w:val="001851AB"/>
    <w:rsid w:val="0018722E"/>
    <w:rsid w:val="00187D79"/>
    <w:rsid w:val="001904DC"/>
    <w:rsid w:val="00190BF6"/>
    <w:rsid w:val="00195C2E"/>
    <w:rsid w:val="001977D0"/>
    <w:rsid w:val="001A13A1"/>
    <w:rsid w:val="001A141A"/>
    <w:rsid w:val="001A3172"/>
    <w:rsid w:val="001A33E1"/>
    <w:rsid w:val="001A453F"/>
    <w:rsid w:val="001C36DF"/>
    <w:rsid w:val="001C5028"/>
    <w:rsid w:val="001C67B5"/>
    <w:rsid w:val="001C757E"/>
    <w:rsid w:val="001C769E"/>
    <w:rsid w:val="001D2C78"/>
    <w:rsid w:val="001D3ABF"/>
    <w:rsid w:val="001E10CD"/>
    <w:rsid w:val="001E271B"/>
    <w:rsid w:val="001E2F6E"/>
    <w:rsid w:val="001F76EB"/>
    <w:rsid w:val="002017FB"/>
    <w:rsid w:val="00202FDF"/>
    <w:rsid w:val="00206AC5"/>
    <w:rsid w:val="00207992"/>
    <w:rsid w:val="00207E44"/>
    <w:rsid w:val="0021047C"/>
    <w:rsid w:val="002110FC"/>
    <w:rsid w:val="00211ECC"/>
    <w:rsid w:val="002125BD"/>
    <w:rsid w:val="0021359A"/>
    <w:rsid w:val="002240F6"/>
    <w:rsid w:val="00224153"/>
    <w:rsid w:val="00230B5D"/>
    <w:rsid w:val="00230E53"/>
    <w:rsid w:val="00231654"/>
    <w:rsid w:val="00231DB3"/>
    <w:rsid w:val="00232C23"/>
    <w:rsid w:val="002353C7"/>
    <w:rsid w:val="00236CC1"/>
    <w:rsid w:val="00241656"/>
    <w:rsid w:val="00241AB1"/>
    <w:rsid w:val="0024483A"/>
    <w:rsid w:val="00244ACB"/>
    <w:rsid w:val="0024680D"/>
    <w:rsid w:val="00246F16"/>
    <w:rsid w:val="00246F3C"/>
    <w:rsid w:val="00247398"/>
    <w:rsid w:val="00256ADE"/>
    <w:rsid w:val="00257C5F"/>
    <w:rsid w:val="002604CA"/>
    <w:rsid w:val="00267631"/>
    <w:rsid w:val="00267990"/>
    <w:rsid w:val="00270D8B"/>
    <w:rsid w:val="002728A8"/>
    <w:rsid w:val="00273DF0"/>
    <w:rsid w:val="00276BD1"/>
    <w:rsid w:val="0028331B"/>
    <w:rsid w:val="00283759"/>
    <w:rsid w:val="0028687F"/>
    <w:rsid w:val="00292083"/>
    <w:rsid w:val="00292BF2"/>
    <w:rsid w:val="00292FA8"/>
    <w:rsid w:val="00293222"/>
    <w:rsid w:val="00297170"/>
    <w:rsid w:val="002A2967"/>
    <w:rsid w:val="002A34FA"/>
    <w:rsid w:val="002B1EE7"/>
    <w:rsid w:val="002B2505"/>
    <w:rsid w:val="002B6600"/>
    <w:rsid w:val="002C7A36"/>
    <w:rsid w:val="002D05F6"/>
    <w:rsid w:val="002D6AFE"/>
    <w:rsid w:val="002D6F18"/>
    <w:rsid w:val="002E1B30"/>
    <w:rsid w:val="002E2AA7"/>
    <w:rsid w:val="002E3C10"/>
    <w:rsid w:val="002E427B"/>
    <w:rsid w:val="002E60AB"/>
    <w:rsid w:val="002F0B87"/>
    <w:rsid w:val="002F2AB1"/>
    <w:rsid w:val="002F2D39"/>
    <w:rsid w:val="002F6FC5"/>
    <w:rsid w:val="002F7894"/>
    <w:rsid w:val="00300D4C"/>
    <w:rsid w:val="00301D20"/>
    <w:rsid w:val="0030209E"/>
    <w:rsid w:val="00312385"/>
    <w:rsid w:val="00315B50"/>
    <w:rsid w:val="003162A5"/>
    <w:rsid w:val="00320D02"/>
    <w:rsid w:val="00321143"/>
    <w:rsid w:val="00327A5B"/>
    <w:rsid w:val="003314E3"/>
    <w:rsid w:val="00331E79"/>
    <w:rsid w:val="003338A7"/>
    <w:rsid w:val="0033428D"/>
    <w:rsid w:val="0033778D"/>
    <w:rsid w:val="003439A3"/>
    <w:rsid w:val="00347446"/>
    <w:rsid w:val="003518B7"/>
    <w:rsid w:val="00353765"/>
    <w:rsid w:val="00354FF8"/>
    <w:rsid w:val="00355162"/>
    <w:rsid w:val="00361C3B"/>
    <w:rsid w:val="003637AC"/>
    <w:rsid w:val="0036635D"/>
    <w:rsid w:val="00370E5C"/>
    <w:rsid w:val="00374AAE"/>
    <w:rsid w:val="0037560E"/>
    <w:rsid w:val="003763E8"/>
    <w:rsid w:val="00380754"/>
    <w:rsid w:val="00380C5C"/>
    <w:rsid w:val="00382B2C"/>
    <w:rsid w:val="003864C4"/>
    <w:rsid w:val="00386D5D"/>
    <w:rsid w:val="00389D77"/>
    <w:rsid w:val="00391E06"/>
    <w:rsid w:val="00394F46"/>
    <w:rsid w:val="003A01D2"/>
    <w:rsid w:val="003A20FD"/>
    <w:rsid w:val="003A4EFF"/>
    <w:rsid w:val="003A5254"/>
    <w:rsid w:val="003A5D62"/>
    <w:rsid w:val="003B7375"/>
    <w:rsid w:val="003C0ACC"/>
    <w:rsid w:val="003C0E64"/>
    <w:rsid w:val="003C1832"/>
    <w:rsid w:val="003C1A8A"/>
    <w:rsid w:val="003C4EB7"/>
    <w:rsid w:val="003C5DB6"/>
    <w:rsid w:val="003C72AE"/>
    <w:rsid w:val="003D08DE"/>
    <w:rsid w:val="003D3D51"/>
    <w:rsid w:val="003D4339"/>
    <w:rsid w:val="003D4BB7"/>
    <w:rsid w:val="003D4C83"/>
    <w:rsid w:val="003E00F4"/>
    <w:rsid w:val="003E0B38"/>
    <w:rsid w:val="003E0C26"/>
    <w:rsid w:val="003E4136"/>
    <w:rsid w:val="003E4146"/>
    <w:rsid w:val="003E6886"/>
    <w:rsid w:val="003F22C4"/>
    <w:rsid w:val="003F306C"/>
    <w:rsid w:val="003F6CA0"/>
    <w:rsid w:val="003F6E16"/>
    <w:rsid w:val="003F7536"/>
    <w:rsid w:val="003F764C"/>
    <w:rsid w:val="00400194"/>
    <w:rsid w:val="00400A4E"/>
    <w:rsid w:val="00401852"/>
    <w:rsid w:val="00401E1E"/>
    <w:rsid w:val="0040201F"/>
    <w:rsid w:val="00404BE6"/>
    <w:rsid w:val="00407E07"/>
    <w:rsid w:val="00410F90"/>
    <w:rsid w:val="00411235"/>
    <w:rsid w:val="004155FC"/>
    <w:rsid w:val="00415E22"/>
    <w:rsid w:val="0041741C"/>
    <w:rsid w:val="00417DD9"/>
    <w:rsid w:val="004326D3"/>
    <w:rsid w:val="004327CC"/>
    <w:rsid w:val="004408D8"/>
    <w:rsid w:val="004461C7"/>
    <w:rsid w:val="00447C44"/>
    <w:rsid w:val="00454E7A"/>
    <w:rsid w:val="004611BB"/>
    <w:rsid w:val="0046141D"/>
    <w:rsid w:val="00461D3A"/>
    <w:rsid w:val="00462186"/>
    <w:rsid w:val="00463B88"/>
    <w:rsid w:val="004662EF"/>
    <w:rsid w:val="00467545"/>
    <w:rsid w:val="00470314"/>
    <w:rsid w:val="004705CE"/>
    <w:rsid w:val="004708F7"/>
    <w:rsid w:val="00474E3C"/>
    <w:rsid w:val="004812F1"/>
    <w:rsid w:val="00481FD5"/>
    <w:rsid w:val="00482969"/>
    <w:rsid w:val="004851B0"/>
    <w:rsid w:val="00485C89"/>
    <w:rsid w:val="00485C9C"/>
    <w:rsid w:val="00490C8C"/>
    <w:rsid w:val="00491816"/>
    <w:rsid w:val="00495C41"/>
    <w:rsid w:val="00495E92"/>
    <w:rsid w:val="004A0993"/>
    <w:rsid w:val="004A1A05"/>
    <w:rsid w:val="004A23D0"/>
    <w:rsid w:val="004A3D33"/>
    <w:rsid w:val="004A4195"/>
    <w:rsid w:val="004B3D00"/>
    <w:rsid w:val="004C02F2"/>
    <w:rsid w:val="004C0EEC"/>
    <w:rsid w:val="004C3A61"/>
    <w:rsid w:val="004C6B0F"/>
    <w:rsid w:val="004C72F3"/>
    <w:rsid w:val="004D0AAC"/>
    <w:rsid w:val="004D3254"/>
    <w:rsid w:val="004D33AF"/>
    <w:rsid w:val="004D3F9A"/>
    <w:rsid w:val="004E371B"/>
    <w:rsid w:val="004E41AF"/>
    <w:rsid w:val="004F2AA8"/>
    <w:rsid w:val="004F3825"/>
    <w:rsid w:val="004F577C"/>
    <w:rsid w:val="005007F2"/>
    <w:rsid w:val="00500F2D"/>
    <w:rsid w:val="00503143"/>
    <w:rsid w:val="00510A4F"/>
    <w:rsid w:val="00510C78"/>
    <w:rsid w:val="00513877"/>
    <w:rsid w:val="00515AC3"/>
    <w:rsid w:val="005204BA"/>
    <w:rsid w:val="00521FB5"/>
    <w:rsid w:val="00523590"/>
    <w:rsid w:val="00532311"/>
    <w:rsid w:val="00532C9D"/>
    <w:rsid w:val="0053590F"/>
    <w:rsid w:val="005408E1"/>
    <w:rsid w:val="0054183C"/>
    <w:rsid w:val="00542748"/>
    <w:rsid w:val="0055004A"/>
    <w:rsid w:val="005504CE"/>
    <w:rsid w:val="00550A1E"/>
    <w:rsid w:val="005542AE"/>
    <w:rsid w:val="00554C07"/>
    <w:rsid w:val="005561FA"/>
    <w:rsid w:val="0056199A"/>
    <w:rsid w:val="00563892"/>
    <w:rsid w:val="00563DC7"/>
    <w:rsid w:val="0056426C"/>
    <w:rsid w:val="005708C3"/>
    <w:rsid w:val="00577CD0"/>
    <w:rsid w:val="00581722"/>
    <w:rsid w:val="005855D4"/>
    <w:rsid w:val="00585698"/>
    <w:rsid w:val="0059021F"/>
    <w:rsid w:val="005902CA"/>
    <w:rsid w:val="00591AEC"/>
    <w:rsid w:val="00591AFD"/>
    <w:rsid w:val="005949BE"/>
    <w:rsid w:val="00595DF4"/>
    <w:rsid w:val="005A260C"/>
    <w:rsid w:val="005A2BB4"/>
    <w:rsid w:val="005A6F75"/>
    <w:rsid w:val="005B2D74"/>
    <w:rsid w:val="005B4616"/>
    <w:rsid w:val="005B4755"/>
    <w:rsid w:val="005B4F51"/>
    <w:rsid w:val="005B7A5E"/>
    <w:rsid w:val="005C15FE"/>
    <w:rsid w:val="005C178D"/>
    <w:rsid w:val="005C7675"/>
    <w:rsid w:val="005D07AF"/>
    <w:rsid w:val="005D6849"/>
    <w:rsid w:val="005D6D32"/>
    <w:rsid w:val="005D7451"/>
    <w:rsid w:val="005D760D"/>
    <w:rsid w:val="005E157B"/>
    <w:rsid w:val="005E334F"/>
    <w:rsid w:val="005E42AC"/>
    <w:rsid w:val="005E4F6D"/>
    <w:rsid w:val="005E6B3E"/>
    <w:rsid w:val="005E7B63"/>
    <w:rsid w:val="005F021D"/>
    <w:rsid w:val="005F35A5"/>
    <w:rsid w:val="00602250"/>
    <w:rsid w:val="006027AE"/>
    <w:rsid w:val="00612595"/>
    <w:rsid w:val="00616B89"/>
    <w:rsid w:val="00621500"/>
    <w:rsid w:val="00624B8F"/>
    <w:rsid w:val="00625A9F"/>
    <w:rsid w:val="00632A9F"/>
    <w:rsid w:val="00633E1C"/>
    <w:rsid w:val="0063752B"/>
    <w:rsid w:val="00637A1D"/>
    <w:rsid w:val="00637F32"/>
    <w:rsid w:val="00643074"/>
    <w:rsid w:val="00643CE3"/>
    <w:rsid w:val="006553DA"/>
    <w:rsid w:val="00655F1F"/>
    <w:rsid w:val="00656B9D"/>
    <w:rsid w:val="00657968"/>
    <w:rsid w:val="006713C4"/>
    <w:rsid w:val="006741BB"/>
    <w:rsid w:val="006747FB"/>
    <w:rsid w:val="00675D05"/>
    <w:rsid w:val="00683B45"/>
    <w:rsid w:val="00684EA2"/>
    <w:rsid w:val="006870ED"/>
    <w:rsid w:val="006877EA"/>
    <w:rsid w:val="00690174"/>
    <w:rsid w:val="00694C8C"/>
    <w:rsid w:val="006973E4"/>
    <w:rsid w:val="006A00B6"/>
    <w:rsid w:val="006A00C7"/>
    <w:rsid w:val="006A310C"/>
    <w:rsid w:val="006B2E2E"/>
    <w:rsid w:val="006B42A4"/>
    <w:rsid w:val="006B7396"/>
    <w:rsid w:val="006C04ED"/>
    <w:rsid w:val="006C17C0"/>
    <w:rsid w:val="006D0E7C"/>
    <w:rsid w:val="006D6C65"/>
    <w:rsid w:val="006D70F1"/>
    <w:rsid w:val="006E3551"/>
    <w:rsid w:val="006E5455"/>
    <w:rsid w:val="006E611B"/>
    <w:rsid w:val="006E7234"/>
    <w:rsid w:val="006F22FF"/>
    <w:rsid w:val="006F3540"/>
    <w:rsid w:val="006F38F1"/>
    <w:rsid w:val="006F6129"/>
    <w:rsid w:val="006F7ACE"/>
    <w:rsid w:val="0070022E"/>
    <w:rsid w:val="00700485"/>
    <w:rsid w:val="00702BDC"/>
    <w:rsid w:val="0070378C"/>
    <w:rsid w:val="00706FFC"/>
    <w:rsid w:val="00711C34"/>
    <w:rsid w:val="00712049"/>
    <w:rsid w:val="007127CE"/>
    <w:rsid w:val="0071475C"/>
    <w:rsid w:val="0072140E"/>
    <w:rsid w:val="007226F3"/>
    <w:rsid w:val="007245F2"/>
    <w:rsid w:val="00725632"/>
    <w:rsid w:val="00726DD1"/>
    <w:rsid w:val="007328EE"/>
    <w:rsid w:val="00734CA7"/>
    <w:rsid w:val="00734D0C"/>
    <w:rsid w:val="00736872"/>
    <w:rsid w:val="00741954"/>
    <w:rsid w:val="0074479B"/>
    <w:rsid w:val="00753D0F"/>
    <w:rsid w:val="00754886"/>
    <w:rsid w:val="007565A7"/>
    <w:rsid w:val="00764762"/>
    <w:rsid w:val="00764AE7"/>
    <w:rsid w:val="00764C15"/>
    <w:rsid w:val="00765EDA"/>
    <w:rsid w:val="007708EC"/>
    <w:rsid w:val="00774F8C"/>
    <w:rsid w:val="0078187B"/>
    <w:rsid w:val="007833BA"/>
    <w:rsid w:val="00783F53"/>
    <w:rsid w:val="007866BA"/>
    <w:rsid w:val="007934D8"/>
    <w:rsid w:val="0079356C"/>
    <w:rsid w:val="00793A50"/>
    <w:rsid w:val="007947B4"/>
    <w:rsid w:val="007962F0"/>
    <w:rsid w:val="00797246"/>
    <w:rsid w:val="00797506"/>
    <w:rsid w:val="007976E0"/>
    <w:rsid w:val="007A014F"/>
    <w:rsid w:val="007A01EF"/>
    <w:rsid w:val="007A41EA"/>
    <w:rsid w:val="007B05A8"/>
    <w:rsid w:val="007B1AF6"/>
    <w:rsid w:val="007B353F"/>
    <w:rsid w:val="007B4F24"/>
    <w:rsid w:val="007B5143"/>
    <w:rsid w:val="007B5A2F"/>
    <w:rsid w:val="007B72FF"/>
    <w:rsid w:val="007C0A9A"/>
    <w:rsid w:val="007C1E21"/>
    <w:rsid w:val="007C209B"/>
    <w:rsid w:val="007C3038"/>
    <w:rsid w:val="007C532D"/>
    <w:rsid w:val="007C5D32"/>
    <w:rsid w:val="007C6355"/>
    <w:rsid w:val="007C75D3"/>
    <w:rsid w:val="007C7F1E"/>
    <w:rsid w:val="007D0586"/>
    <w:rsid w:val="007D13D7"/>
    <w:rsid w:val="007D206E"/>
    <w:rsid w:val="007D3A5D"/>
    <w:rsid w:val="007D3C3F"/>
    <w:rsid w:val="007E04A0"/>
    <w:rsid w:val="007F1B57"/>
    <w:rsid w:val="007F2BF7"/>
    <w:rsid w:val="007F43AB"/>
    <w:rsid w:val="007F4557"/>
    <w:rsid w:val="007F779B"/>
    <w:rsid w:val="00800716"/>
    <w:rsid w:val="008025DC"/>
    <w:rsid w:val="00804F77"/>
    <w:rsid w:val="00807E3B"/>
    <w:rsid w:val="00811DBC"/>
    <w:rsid w:val="00811FBB"/>
    <w:rsid w:val="00813ABE"/>
    <w:rsid w:val="00823B0B"/>
    <w:rsid w:val="00831CBB"/>
    <w:rsid w:val="00841CAE"/>
    <w:rsid w:val="00844CDF"/>
    <w:rsid w:val="00850910"/>
    <w:rsid w:val="00851555"/>
    <w:rsid w:val="00852D4D"/>
    <w:rsid w:val="00852F27"/>
    <w:rsid w:val="00853666"/>
    <w:rsid w:val="00853DC8"/>
    <w:rsid w:val="00853E19"/>
    <w:rsid w:val="008540AD"/>
    <w:rsid w:val="00854D10"/>
    <w:rsid w:val="008554CC"/>
    <w:rsid w:val="008622B8"/>
    <w:rsid w:val="00862A7D"/>
    <w:rsid w:val="00865BEE"/>
    <w:rsid w:val="00865D33"/>
    <w:rsid w:val="00870C46"/>
    <w:rsid w:val="008724B1"/>
    <w:rsid w:val="00872D62"/>
    <w:rsid w:val="008730A9"/>
    <w:rsid w:val="008755E0"/>
    <w:rsid w:val="00877311"/>
    <w:rsid w:val="008838D7"/>
    <w:rsid w:val="00885E2D"/>
    <w:rsid w:val="00886316"/>
    <w:rsid w:val="008869C7"/>
    <w:rsid w:val="008875D6"/>
    <w:rsid w:val="00890503"/>
    <w:rsid w:val="0089179D"/>
    <w:rsid w:val="008923DA"/>
    <w:rsid w:val="00892B4B"/>
    <w:rsid w:val="0089327E"/>
    <w:rsid w:val="00894EC6"/>
    <w:rsid w:val="00895B04"/>
    <w:rsid w:val="008965EC"/>
    <w:rsid w:val="008967DE"/>
    <w:rsid w:val="008A031E"/>
    <w:rsid w:val="008A08E9"/>
    <w:rsid w:val="008A3351"/>
    <w:rsid w:val="008A4768"/>
    <w:rsid w:val="008A6AA9"/>
    <w:rsid w:val="008A6DED"/>
    <w:rsid w:val="008B2240"/>
    <w:rsid w:val="008B2A19"/>
    <w:rsid w:val="008B436F"/>
    <w:rsid w:val="008B46E5"/>
    <w:rsid w:val="008B6EF9"/>
    <w:rsid w:val="008B7A14"/>
    <w:rsid w:val="008C1F59"/>
    <w:rsid w:val="008C3ADF"/>
    <w:rsid w:val="008C3B64"/>
    <w:rsid w:val="008C4B16"/>
    <w:rsid w:val="008C5533"/>
    <w:rsid w:val="008C64D9"/>
    <w:rsid w:val="008C7776"/>
    <w:rsid w:val="008C7863"/>
    <w:rsid w:val="008D1FAA"/>
    <w:rsid w:val="008E0948"/>
    <w:rsid w:val="008E0961"/>
    <w:rsid w:val="008E1BE6"/>
    <w:rsid w:val="008E3F7C"/>
    <w:rsid w:val="008E4873"/>
    <w:rsid w:val="008E5146"/>
    <w:rsid w:val="008E7B9D"/>
    <w:rsid w:val="008F0544"/>
    <w:rsid w:val="008F3958"/>
    <w:rsid w:val="008F46A1"/>
    <w:rsid w:val="008F7F47"/>
    <w:rsid w:val="00904B28"/>
    <w:rsid w:val="00906732"/>
    <w:rsid w:val="009100B8"/>
    <w:rsid w:val="0091037E"/>
    <w:rsid w:val="00913588"/>
    <w:rsid w:val="00914D51"/>
    <w:rsid w:val="00916261"/>
    <w:rsid w:val="00917DCD"/>
    <w:rsid w:val="00920BF1"/>
    <w:rsid w:val="0092149F"/>
    <w:rsid w:val="009244AB"/>
    <w:rsid w:val="00926664"/>
    <w:rsid w:val="009278DE"/>
    <w:rsid w:val="00930A61"/>
    <w:rsid w:val="00931950"/>
    <w:rsid w:val="0093199D"/>
    <w:rsid w:val="0093232E"/>
    <w:rsid w:val="009368BD"/>
    <w:rsid w:val="00936DD8"/>
    <w:rsid w:val="009375EF"/>
    <w:rsid w:val="00940E90"/>
    <w:rsid w:val="00943564"/>
    <w:rsid w:val="009444B1"/>
    <w:rsid w:val="00944D24"/>
    <w:rsid w:val="00945EBA"/>
    <w:rsid w:val="00951A4C"/>
    <w:rsid w:val="00954278"/>
    <w:rsid w:val="009558BB"/>
    <w:rsid w:val="009560C2"/>
    <w:rsid w:val="0095718F"/>
    <w:rsid w:val="00962770"/>
    <w:rsid w:val="009650D0"/>
    <w:rsid w:val="009660F1"/>
    <w:rsid w:val="009734D5"/>
    <w:rsid w:val="00980F0F"/>
    <w:rsid w:val="00984718"/>
    <w:rsid w:val="00992076"/>
    <w:rsid w:val="00994B5B"/>
    <w:rsid w:val="00995A5F"/>
    <w:rsid w:val="009968B8"/>
    <w:rsid w:val="009A0E77"/>
    <w:rsid w:val="009A3B03"/>
    <w:rsid w:val="009B0480"/>
    <w:rsid w:val="009B1CB2"/>
    <w:rsid w:val="009B36F7"/>
    <w:rsid w:val="009BD9B8"/>
    <w:rsid w:val="009C0674"/>
    <w:rsid w:val="009C1122"/>
    <w:rsid w:val="009C1A93"/>
    <w:rsid w:val="009C1D96"/>
    <w:rsid w:val="009C316D"/>
    <w:rsid w:val="009C5598"/>
    <w:rsid w:val="009C5FFE"/>
    <w:rsid w:val="009C6BC8"/>
    <w:rsid w:val="009D5104"/>
    <w:rsid w:val="009D62A2"/>
    <w:rsid w:val="009E3C03"/>
    <w:rsid w:val="009E60D8"/>
    <w:rsid w:val="009E66DB"/>
    <w:rsid w:val="009E6B99"/>
    <w:rsid w:val="009F1333"/>
    <w:rsid w:val="009F48F4"/>
    <w:rsid w:val="009F5B2E"/>
    <w:rsid w:val="009F67D2"/>
    <w:rsid w:val="009F71C9"/>
    <w:rsid w:val="009F7BE0"/>
    <w:rsid w:val="00A012F5"/>
    <w:rsid w:val="00A01782"/>
    <w:rsid w:val="00A0312F"/>
    <w:rsid w:val="00A0494F"/>
    <w:rsid w:val="00A08B37"/>
    <w:rsid w:val="00A10601"/>
    <w:rsid w:val="00A10869"/>
    <w:rsid w:val="00A11B36"/>
    <w:rsid w:val="00A12F98"/>
    <w:rsid w:val="00A13B23"/>
    <w:rsid w:val="00A1613A"/>
    <w:rsid w:val="00A211C0"/>
    <w:rsid w:val="00A21863"/>
    <w:rsid w:val="00A3347A"/>
    <w:rsid w:val="00A37E62"/>
    <w:rsid w:val="00A40112"/>
    <w:rsid w:val="00A404B0"/>
    <w:rsid w:val="00A420B8"/>
    <w:rsid w:val="00A42BA6"/>
    <w:rsid w:val="00A4723B"/>
    <w:rsid w:val="00A4773C"/>
    <w:rsid w:val="00A52132"/>
    <w:rsid w:val="00A52764"/>
    <w:rsid w:val="00A60642"/>
    <w:rsid w:val="00A63B73"/>
    <w:rsid w:val="00A6463E"/>
    <w:rsid w:val="00A64BAA"/>
    <w:rsid w:val="00A659E4"/>
    <w:rsid w:val="00A67E90"/>
    <w:rsid w:val="00A72C64"/>
    <w:rsid w:val="00A7497B"/>
    <w:rsid w:val="00A74F12"/>
    <w:rsid w:val="00A75245"/>
    <w:rsid w:val="00A754E9"/>
    <w:rsid w:val="00A77D37"/>
    <w:rsid w:val="00A81928"/>
    <w:rsid w:val="00A83E30"/>
    <w:rsid w:val="00A8545E"/>
    <w:rsid w:val="00A858EB"/>
    <w:rsid w:val="00A87A4B"/>
    <w:rsid w:val="00A93E37"/>
    <w:rsid w:val="00AA08C3"/>
    <w:rsid w:val="00AA1D60"/>
    <w:rsid w:val="00AA25EB"/>
    <w:rsid w:val="00AA2A8F"/>
    <w:rsid w:val="00AA4E07"/>
    <w:rsid w:val="00AA55D9"/>
    <w:rsid w:val="00AA6EA5"/>
    <w:rsid w:val="00AB14A4"/>
    <w:rsid w:val="00AB1B45"/>
    <w:rsid w:val="00AB1D96"/>
    <w:rsid w:val="00AB2D31"/>
    <w:rsid w:val="00AB39A1"/>
    <w:rsid w:val="00AB4519"/>
    <w:rsid w:val="00AB7ABE"/>
    <w:rsid w:val="00AC11B4"/>
    <w:rsid w:val="00AC12BB"/>
    <w:rsid w:val="00AC22CA"/>
    <w:rsid w:val="00AC2A17"/>
    <w:rsid w:val="00AC2C4F"/>
    <w:rsid w:val="00AC3293"/>
    <w:rsid w:val="00AC5013"/>
    <w:rsid w:val="00AD1397"/>
    <w:rsid w:val="00AD7745"/>
    <w:rsid w:val="00AE2E7A"/>
    <w:rsid w:val="00AF1AB2"/>
    <w:rsid w:val="00AF3383"/>
    <w:rsid w:val="00AF4400"/>
    <w:rsid w:val="00B0286F"/>
    <w:rsid w:val="00B02AF7"/>
    <w:rsid w:val="00B03239"/>
    <w:rsid w:val="00B11D49"/>
    <w:rsid w:val="00B14589"/>
    <w:rsid w:val="00B21A1D"/>
    <w:rsid w:val="00B23563"/>
    <w:rsid w:val="00B247FE"/>
    <w:rsid w:val="00B311D2"/>
    <w:rsid w:val="00B32424"/>
    <w:rsid w:val="00B32702"/>
    <w:rsid w:val="00B35C60"/>
    <w:rsid w:val="00B401C8"/>
    <w:rsid w:val="00B445EE"/>
    <w:rsid w:val="00B4573B"/>
    <w:rsid w:val="00B4589C"/>
    <w:rsid w:val="00B45BDF"/>
    <w:rsid w:val="00B462FA"/>
    <w:rsid w:val="00B51060"/>
    <w:rsid w:val="00B54174"/>
    <w:rsid w:val="00B55FD6"/>
    <w:rsid w:val="00B568C1"/>
    <w:rsid w:val="00B57168"/>
    <w:rsid w:val="00B61EC9"/>
    <w:rsid w:val="00B64599"/>
    <w:rsid w:val="00B65E6E"/>
    <w:rsid w:val="00B65FC0"/>
    <w:rsid w:val="00B66546"/>
    <w:rsid w:val="00B7085A"/>
    <w:rsid w:val="00B70E49"/>
    <w:rsid w:val="00B76E27"/>
    <w:rsid w:val="00B845BC"/>
    <w:rsid w:val="00B849EF"/>
    <w:rsid w:val="00B940F1"/>
    <w:rsid w:val="00B94228"/>
    <w:rsid w:val="00B94B39"/>
    <w:rsid w:val="00B96B24"/>
    <w:rsid w:val="00B979EF"/>
    <w:rsid w:val="00BA3E94"/>
    <w:rsid w:val="00BA485B"/>
    <w:rsid w:val="00BA5E55"/>
    <w:rsid w:val="00BA5FA0"/>
    <w:rsid w:val="00BA6267"/>
    <w:rsid w:val="00BA6F6A"/>
    <w:rsid w:val="00BA754B"/>
    <w:rsid w:val="00BB2907"/>
    <w:rsid w:val="00BB4B8A"/>
    <w:rsid w:val="00BB7E9C"/>
    <w:rsid w:val="00BC04B6"/>
    <w:rsid w:val="00BC17BC"/>
    <w:rsid w:val="00BC2F8A"/>
    <w:rsid w:val="00BC32DD"/>
    <w:rsid w:val="00BC5C4A"/>
    <w:rsid w:val="00BC642B"/>
    <w:rsid w:val="00BD00BD"/>
    <w:rsid w:val="00BD11EE"/>
    <w:rsid w:val="00BD1AC0"/>
    <w:rsid w:val="00BD260A"/>
    <w:rsid w:val="00BD3AB0"/>
    <w:rsid w:val="00BD6E9E"/>
    <w:rsid w:val="00BD7133"/>
    <w:rsid w:val="00BD734F"/>
    <w:rsid w:val="00BE3DE3"/>
    <w:rsid w:val="00BE55AF"/>
    <w:rsid w:val="00BE57CD"/>
    <w:rsid w:val="00BE7BCF"/>
    <w:rsid w:val="00BF000F"/>
    <w:rsid w:val="00BF022A"/>
    <w:rsid w:val="00BF0EEA"/>
    <w:rsid w:val="00BF285F"/>
    <w:rsid w:val="00BF552A"/>
    <w:rsid w:val="00BF6E3F"/>
    <w:rsid w:val="00C0583C"/>
    <w:rsid w:val="00C07B41"/>
    <w:rsid w:val="00C1189A"/>
    <w:rsid w:val="00C15A7B"/>
    <w:rsid w:val="00C15B19"/>
    <w:rsid w:val="00C17E0B"/>
    <w:rsid w:val="00C217C5"/>
    <w:rsid w:val="00C22476"/>
    <w:rsid w:val="00C22CA5"/>
    <w:rsid w:val="00C2499C"/>
    <w:rsid w:val="00C26EA3"/>
    <w:rsid w:val="00C26F5B"/>
    <w:rsid w:val="00C27258"/>
    <w:rsid w:val="00C3113B"/>
    <w:rsid w:val="00C35D1D"/>
    <w:rsid w:val="00C3601F"/>
    <w:rsid w:val="00C37587"/>
    <w:rsid w:val="00C40CD1"/>
    <w:rsid w:val="00C416C6"/>
    <w:rsid w:val="00C43DE0"/>
    <w:rsid w:val="00C54A02"/>
    <w:rsid w:val="00C56DCE"/>
    <w:rsid w:val="00C61D91"/>
    <w:rsid w:val="00C63706"/>
    <w:rsid w:val="00C63BE5"/>
    <w:rsid w:val="00C64DED"/>
    <w:rsid w:val="00C74F47"/>
    <w:rsid w:val="00C766E2"/>
    <w:rsid w:val="00C822DB"/>
    <w:rsid w:val="00C82EB9"/>
    <w:rsid w:val="00C83816"/>
    <w:rsid w:val="00C83C7B"/>
    <w:rsid w:val="00C83E7B"/>
    <w:rsid w:val="00C9299F"/>
    <w:rsid w:val="00C9432F"/>
    <w:rsid w:val="00C95758"/>
    <w:rsid w:val="00C972E7"/>
    <w:rsid w:val="00C97664"/>
    <w:rsid w:val="00CA3AC8"/>
    <w:rsid w:val="00CA4899"/>
    <w:rsid w:val="00CA4944"/>
    <w:rsid w:val="00CA7A23"/>
    <w:rsid w:val="00CB6C8F"/>
    <w:rsid w:val="00CB7F47"/>
    <w:rsid w:val="00CC0ED6"/>
    <w:rsid w:val="00CC4EF8"/>
    <w:rsid w:val="00CC5050"/>
    <w:rsid w:val="00CC530F"/>
    <w:rsid w:val="00CC7E5A"/>
    <w:rsid w:val="00CD60D4"/>
    <w:rsid w:val="00CD6ACF"/>
    <w:rsid w:val="00CE2038"/>
    <w:rsid w:val="00CE453F"/>
    <w:rsid w:val="00CE656D"/>
    <w:rsid w:val="00CE7E44"/>
    <w:rsid w:val="00CF1707"/>
    <w:rsid w:val="00CF3047"/>
    <w:rsid w:val="00CF3778"/>
    <w:rsid w:val="00CF79C8"/>
    <w:rsid w:val="00D016D7"/>
    <w:rsid w:val="00D018B7"/>
    <w:rsid w:val="00D024E8"/>
    <w:rsid w:val="00D04082"/>
    <w:rsid w:val="00D05E31"/>
    <w:rsid w:val="00D10C3A"/>
    <w:rsid w:val="00D113C8"/>
    <w:rsid w:val="00D162BF"/>
    <w:rsid w:val="00D175E2"/>
    <w:rsid w:val="00D20597"/>
    <w:rsid w:val="00D23B09"/>
    <w:rsid w:val="00D24FF3"/>
    <w:rsid w:val="00D2593F"/>
    <w:rsid w:val="00D27F03"/>
    <w:rsid w:val="00D46041"/>
    <w:rsid w:val="00D460ED"/>
    <w:rsid w:val="00D464F3"/>
    <w:rsid w:val="00D470C9"/>
    <w:rsid w:val="00D505E3"/>
    <w:rsid w:val="00D5227A"/>
    <w:rsid w:val="00D5324E"/>
    <w:rsid w:val="00D537E8"/>
    <w:rsid w:val="00D56356"/>
    <w:rsid w:val="00D57520"/>
    <w:rsid w:val="00D63DF1"/>
    <w:rsid w:val="00D67652"/>
    <w:rsid w:val="00D70915"/>
    <w:rsid w:val="00D743AF"/>
    <w:rsid w:val="00D749A7"/>
    <w:rsid w:val="00D74FE4"/>
    <w:rsid w:val="00D80C99"/>
    <w:rsid w:val="00D81123"/>
    <w:rsid w:val="00D81AF9"/>
    <w:rsid w:val="00D913F2"/>
    <w:rsid w:val="00D92F7A"/>
    <w:rsid w:val="00D96B5A"/>
    <w:rsid w:val="00D978FA"/>
    <w:rsid w:val="00DA1B1C"/>
    <w:rsid w:val="00DA1C21"/>
    <w:rsid w:val="00DA2457"/>
    <w:rsid w:val="00DA5EC6"/>
    <w:rsid w:val="00DA732A"/>
    <w:rsid w:val="00DB09C9"/>
    <w:rsid w:val="00DB18CE"/>
    <w:rsid w:val="00DB21DB"/>
    <w:rsid w:val="00DB40D0"/>
    <w:rsid w:val="00DB6BFE"/>
    <w:rsid w:val="00DC3E38"/>
    <w:rsid w:val="00DD015F"/>
    <w:rsid w:val="00DD02A7"/>
    <w:rsid w:val="00DD1E4E"/>
    <w:rsid w:val="00DD1FF6"/>
    <w:rsid w:val="00DD4C34"/>
    <w:rsid w:val="00DDC17C"/>
    <w:rsid w:val="00DE2B46"/>
    <w:rsid w:val="00DE47C9"/>
    <w:rsid w:val="00DE4B46"/>
    <w:rsid w:val="00DE622D"/>
    <w:rsid w:val="00DE6851"/>
    <w:rsid w:val="00DF05FB"/>
    <w:rsid w:val="00DF2E9F"/>
    <w:rsid w:val="00DF58F0"/>
    <w:rsid w:val="00E00FFA"/>
    <w:rsid w:val="00E03B64"/>
    <w:rsid w:val="00E043AA"/>
    <w:rsid w:val="00E04C58"/>
    <w:rsid w:val="00E04C87"/>
    <w:rsid w:val="00E05E04"/>
    <w:rsid w:val="00E06093"/>
    <w:rsid w:val="00E11EDD"/>
    <w:rsid w:val="00E1536E"/>
    <w:rsid w:val="00E16C36"/>
    <w:rsid w:val="00E17632"/>
    <w:rsid w:val="00E203B1"/>
    <w:rsid w:val="00E2184A"/>
    <w:rsid w:val="00E247BB"/>
    <w:rsid w:val="00E32984"/>
    <w:rsid w:val="00E33F35"/>
    <w:rsid w:val="00E36420"/>
    <w:rsid w:val="00E413A5"/>
    <w:rsid w:val="00E42F9D"/>
    <w:rsid w:val="00E431E8"/>
    <w:rsid w:val="00E50629"/>
    <w:rsid w:val="00E553DC"/>
    <w:rsid w:val="00E5588B"/>
    <w:rsid w:val="00E559CB"/>
    <w:rsid w:val="00E55B4C"/>
    <w:rsid w:val="00E56EE1"/>
    <w:rsid w:val="00E5795C"/>
    <w:rsid w:val="00E60D0E"/>
    <w:rsid w:val="00E71AA8"/>
    <w:rsid w:val="00E72BD7"/>
    <w:rsid w:val="00E73E24"/>
    <w:rsid w:val="00E75A03"/>
    <w:rsid w:val="00E80C21"/>
    <w:rsid w:val="00E82B16"/>
    <w:rsid w:val="00E87761"/>
    <w:rsid w:val="00E9130C"/>
    <w:rsid w:val="00E91F7D"/>
    <w:rsid w:val="00EA0A6D"/>
    <w:rsid w:val="00EA47F4"/>
    <w:rsid w:val="00EA5455"/>
    <w:rsid w:val="00EA68C3"/>
    <w:rsid w:val="00EA6B9B"/>
    <w:rsid w:val="00EB0EF8"/>
    <w:rsid w:val="00EB4908"/>
    <w:rsid w:val="00EB4CE3"/>
    <w:rsid w:val="00EB6635"/>
    <w:rsid w:val="00EC2EBB"/>
    <w:rsid w:val="00EC37C0"/>
    <w:rsid w:val="00EC446A"/>
    <w:rsid w:val="00EC4CD8"/>
    <w:rsid w:val="00EC5E0F"/>
    <w:rsid w:val="00EC71AF"/>
    <w:rsid w:val="00ED3109"/>
    <w:rsid w:val="00ED5B60"/>
    <w:rsid w:val="00EE07CA"/>
    <w:rsid w:val="00EE69D7"/>
    <w:rsid w:val="00EE7FAB"/>
    <w:rsid w:val="00EF0760"/>
    <w:rsid w:val="00EF1748"/>
    <w:rsid w:val="00EF2A63"/>
    <w:rsid w:val="00EF3FBA"/>
    <w:rsid w:val="00EF427F"/>
    <w:rsid w:val="00EF47EA"/>
    <w:rsid w:val="00EF5D41"/>
    <w:rsid w:val="00EF65A6"/>
    <w:rsid w:val="00F037B1"/>
    <w:rsid w:val="00F06565"/>
    <w:rsid w:val="00F14626"/>
    <w:rsid w:val="00F14D1B"/>
    <w:rsid w:val="00F2006F"/>
    <w:rsid w:val="00F20B25"/>
    <w:rsid w:val="00F21670"/>
    <w:rsid w:val="00F21AF5"/>
    <w:rsid w:val="00F22A3F"/>
    <w:rsid w:val="00F23812"/>
    <w:rsid w:val="00F27131"/>
    <w:rsid w:val="00F302E3"/>
    <w:rsid w:val="00F3111E"/>
    <w:rsid w:val="00F3114D"/>
    <w:rsid w:val="00F3176F"/>
    <w:rsid w:val="00F360BA"/>
    <w:rsid w:val="00F36662"/>
    <w:rsid w:val="00F42B42"/>
    <w:rsid w:val="00F46E0D"/>
    <w:rsid w:val="00F516D8"/>
    <w:rsid w:val="00F52D35"/>
    <w:rsid w:val="00F53D05"/>
    <w:rsid w:val="00F551E3"/>
    <w:rsid w:val="00F554F0"/>
    <w:rsid w:val="00F706D6"/>
    <w:rsid w:val="00F71BC5"/>
    <w:rsid w:val="00F72C70"/>
    <w:rsid w:val="00F7477C"/>
    <w:rsid w:val="00F75C2A"/>
    <w:rsid w:val="00F8031A"/>
    <w:rsid w:val="00F8363E"/>
    <w:rsid w:val="00F84852"/>
    <w:rsid w:val="00F87EA1"/>
    <w:rsid w:val="00F91640"/>
    <w:rsid w:val="00F95B98"/>
    <w:rsid w:val="00F96030"/>
    <w:rsid w:val="00FA2184"/>
    <w:rsid w:val="00FA26AC"/>
    <w:rsid w:val="00FA3120"/>
    <w:rsid w:val="00FB129F"/>
    <w:rsid w:val="00FB34FB"/>
    <w:rsid w:val="00FB449F"/>
    <w:rsid w:val="00FB4D90"/>
    <w:rsid w:val="00FB5899"/>
    <w:rsid w:val="00FB66EE"/>
    <w:rsid w:val="00FC0073"/>
    <w:rsid w:val="00FC19F5"/>
    <w:rsid w:val="00FC7181"/>
    <w:rsid w:val="00FD40AC"/>
    <w:rsid w:val="00FD45F4"/>
    <w:rsid w:val="00FD4FCC"/>
    <w:rsid w:val="00FD6BB8"/>
    <w:rsid w:val="00FE067F"/>
    <w:rsid w:val="00FE1FF4"/>
    <w:rsid w:val="00FE2995"/>
    <w:rsid w:val="00FE5458"/>
    <w:rsid w:val="00FE74DE"/>
    <w:rsid w:val="00FF3653"/>
    <w:rsid w:val="00FF3DF4"/>
    <w:rsid w:val="00FF5F9F"/>
    <w:rsid w:val="010418DB"/>
    <w:rsid w:val="011D9B44"/>
    <w:rsid w:val="01368E00"/>
    <w:rsid w:val="013C2939"/>
    <w:rsid w:val="018221F6"/>
    <w:rsid w:val="01B91F84"/>
    <w:rsid w:val="01B98B02"/>
    <w:rsid w:val="01D4F85A"/>
    <w:rsid w:val="01D7B871"/>
    <w:rsid w:val="01DA8CE4"/>
    <w:rsid w:val="01E69924"/>
    <w:rsid w:val="0202F945"/>
    <w:rsid w:val="02176830"/>
    <w:rsid w:val="02392DDE"/>
    <w:rsid w:val="0272D18B"/>
    <w:rsid w:val="027676B8"/>
    <w:rsid w:val="028E2376"/>
    <w:rsid w:val="02A435A4"/>
    <w:rsid w:val="02A6ABC8"/>
    <w:rsid w:val="02AE9880"/>
    <w:rsid w:val="02B3B2EC"/>
    <w:rsid w:val="02B6CADA"/>
    <w:rsid w:val="02BBECC4"/>
    <w:rsid w:val="02BBFCD7"/>
    <w:rsid w:val="02C239B9"/>
    <w:rsid w:val="03194328"/>
    <w:rsid w:val="031BA62B"/>
    <w:rsid w:val="032D4E2C"/>
    <w:rsid w:val="034E4F8A"/>
    <w:rsid w:val="0370C8BB"/>
    <w:rsid w:val="039A11AC"/>
    <w:rsid w:val="03A282C4"/>
    <w:rsid w:val="03C8BFAE"/>
    <w:rsid w:val="040E6FC9"/>
    <w:rsid w:val="040FC59B"/>
    <w:rsid w:val="0429D74D"/>
    <w:rsid w:val="0429F3D7"/>
    <w:rsid w:val="043BCF58"/>
    <w:rsid w:val="04576A33"/>
    <w:rsid w:val="04A6AB62"/>
    <w:rsid w:val="04C26E1A"/>
    <w:rsid w:val="04C6CA14"/>
    <w:rsid w:val="04EC4C5D"/>
    <w:rsid w:val="04F488DB"/>
    <w:rsid w:val="04FBECE0"/>
    <w:rsid w:val="0508102D"/>
    <w:rsid w:val="05364EFD"/>
    <w:rsid w:val="054F06D0"/>
    <w:rsid w:val="054FEF04"/>
    <w:rsid w:val="05684BE3"/>
    <w:rsid w:val="056EE0FA"/>
    <w:rsid w:val="056F0808"/>
    <w:rsid w:val="0571A7D9"/>
    <w:rsid w:val="05BA5296"/>
    <w:rsid w:val="05F19AC3"/>
    <w:rsid w:val="05F35933"/>
    <w:rsid w:val="0612E6E4"/>
    <w:rsid w:val="0633D623"/>
    <w:rsid w:val="063A48E2"/>
    <w:rsid w:val="066CDC74"/>
    <w:rsid w:val="06893965"/>
    <w:rsid w:val="068AA776"/>
    <w:rsid w:val="06943695"/>
    <w:rsid w:val="069A751E"/>
    <w:rsid w:val="069F207E"/>
    <w:rsid w:val="06C8F448"/>
    <w:rsid w:val="06FAE3B7"/>
    <w:rsid w:val="071F336B"/>
    <w:rsid w:val="072A8A87"/>
    <w:rsid w:val="0733DAA3"/>
    <w:rsid w:val="0734A1AF"/>
    <w:rsid w:val="0740183C"/>
    <w:rsid w:val="075B6FA3"/>
    <w:rsid w:val="07680F85"/>
    <w:rsid w:val="07CBCB87"/>
    <w:rsid w:val="07D1CA5B"/>
    <w:rsid w:val="07DECC77"/>
    <w:rsid w:val="07E49CA3"/>
    <w:rsid w:val="07E6D908"/>
    <w:rsid w:val="07F31279"/>
    <w:rsid w:val="07FF69ED"/>
    <w:rsid w:val="08047220"/>
    <w:rsid w:val="083238FC"/>
    <w:rsid w:val="0833E2E3"/>
    <w:rsid w:val="0840FC45"/>
    <w:rsid w:val="08649C6A"/>
    <w:rsid w:val="086647D4"/>
    <w:rsid w:val="0896293A"/>
    <w:rsid w:val="0896F2E4"/>
    <w:rsid w:val="089B1AB5"/>
    <w:rsid w:val="08AC1F10"/>
    <w:rsid w:val="08AC9E4A"/>
    <w:rsid w:val="08B0A025"/>
    <w:rsid w:val="08F5E414"/>
    <w:rsid w:val="090589D8"/>
    <w:rsid w:val="093572F7"/>
    <w:rsid w:val="09365BE7"/>
    <w:rsid w:val="09428F3D"/>
    <w:rsid w:val="095C571D"/>
    <w:rsid w:val="0999974A"/>
    <w:rsid w:val="09A46065"/>
    <w:rsid w:val="09C8F04B"/>
    <w:rsid w:val="09CCB513"/>
    <w:rsid w:val="09E2BE8F"/>
    <w:rsid w:val="09ECBFE2"/>
    <w:rsid w:val="09F2B6C5"/>
    <w:rsid w:val="0A0A3A62"/>
    <w:rsid w:val="0A0A90C1"/>
    <w:rsid w:val="0A1B8120"/>
    <w:rsid w:val="0A3322BC"/>
    <w:rsid w:val="0A54615F"/>
    <w:rsid w:val="0A623328"/>
    <w:rsid w:val="0A82B3D7"/>
    <w:rsid w:val="0A84E6F6"/>
    <w:rsid w:val="0A92EBB9"/>
    <w:rsid w:val="0AAD2CF2"/>
    <w:rsid w:val="0AC50BE6"/>
    <w:rsid w:val="0AD4378C"/>
    <w:rsid w:val="0ADF492C"/>
    <w:rsid w:val="0AE0ABEA"/>
    <w:rsid w:val="0AFC4FD2"/>
    <w:rsid w:val="0B0462AE"/>
    <w:rsid w:val="0B04FCF6"/>
    <w:rsid w:val="0B1C3D65"/>
    <w:rsid w:val="0B347061"/>
    <w:rsid w:val="0B40986B"/>
    <w:rsid w:val="0B4D086D"/>
    <w:rsid w:val="0B609BF5"/>
    <w:rsid w:val="0B6A66E3"/>
    <w:rsid w:val="0B842881"/>
    <w:rsid w:val="0B8BD783"/>
    <w:rsid w:val="0B90484C"/>
    <w:rsid w:val="0B997E52"/>
    <w:rsid w:val="0B9C3D2C"/>
    <w:rsid w:val="0C290A77"/>
    <w:rsid w:val="0C3E6DE0"/>
    <w:rsid w:val="0C4AD919"/>
    <w:rsid w:val="0C55F622"/>
    <w:rsid w:val="0C5C1283"/>
    <w:rsid w:val="0C6A1557"/>
    <w:rsid w:val="0C7CC11B"/>
    <w:rsid w:val="0C8A998C"/>
    <w:rsid w:val="0CA2C199"/>
    <w:rsid w:val="0CB80DC6"/>
    <w:rsid w:val="0CCD52F1"/>
    <w:rsid w:val="0CED9725"/>
    <w:rsid w:val="0CF1DD12"/>
    <w:rsid w:val="0D05C3A1"/>
    <w:rsid w:val="0D17F12C"/>
    <w:rsid w:val="0D18C4DB"/>
    <w:rsid w:val="0D1FF8E2"/>
    <w:rsid w:val="0DA97213"/>
    <w:rsid w:val="0DC876AE"/>
    <w:rsid w:val="0DCE79BB"/>
    <w:rsid w:val="0DD3A33C"/>
    <w:rsid w:val="0DE03E42"/>
    <w:rsid w:val="0DEA94CA"/>
    <w:rsid w:val="0E0333B1"/>
    <w:rsid w:val="0E03ACC4"/>
    <w:rsid w:val="0E0F20C7"/>
    <w:rsid w:val="0E17DBF8"/>
    <w:rsid w:val="0E33E8DF"/>
    <w:rsid w:val="0E400B11"/>
    <w:rsid w:val="0E4B275A"/>
    <w:rsid w:val="0E6B56FC"/>
    <w:rsid w:val="0E6EAB71"/>
    <w:rsid w:val="0E7619B5"/>
    <w:rsid w:val="0E7F4544"/>
    <w:rsid w:val="0EAE3A20"/>
    <w:rsid w:val="0EB37B62"/>
    <w:rsid w:val="0ED285FE"/>
    <w:rsid w:val="0ED6180E"/>
    <w:rsid w:val="0ED966A9"/>
    <w:rsid w:val="0EE37B82"/>
    <w:rsid w:val="0EEB8D7F"/>
    <w:rsid w:val="0EEF8231"/>
    <w:rsid w:val="0F0FB562"/>
    <w:rsid w:val="0F3201C4"/>
    <w:rsid w:val="0F6A4A1C"/>
    <w:rsid w:val="0F823FD9"/>
    <w:rsid w:val="10134B92"/>
    <w:rsid w:val="10713C74"/>
    <w:rsid w:val="10B1F874"/>
    <w:rsid w:val="10B67A75"/>
    <w:rsid w:val="10CBB42D"/>
    <w:rsid w:val="10D3AB0A"/>
    <w:rsid w:val="10E420D0"/>
    <w:rsid w:val="10E5341F"/>
    <w:rsid w:val="1164A4BC"/>
    <w:rsid w:val="116BC387"/>
    <w:rsid w:val="1173D82A"/>
    <w:rsid w:val="1175D42F"/>
    <w:rsid w:val="11A031F7"/>
    <w:rsid w:val="11A03346"/>
    <w:rsid w:val="11A42F55"/>
    <w:rsid w:val="11BC774C"/>
    <w:rsid w:val="11C833E1"/>
    <w:rsid w:val="11D1F3C7"/>
    <w:rsid w:val="11EAC5D5"/>
    <w:rsid w:val="11ECC5AA"/>
    <w:rsid w:val="11F55FD0"/>
    <w:rsid w:val="11F7ECE9"/>
    <w:rsid w:val="1277034F"/>
    <w:rsid w:val="1279231E"/>
    <w:rsid w:val="12829B23"/>
    <w:rsid w:val="12996A90"/>
    <w:rsid w:val="12A1EDD7"/>
    <w:rsid w:val="12B43B29"/>
    <w:rsid w:val="12C44A61"/>
    <w:rsid w:val="12D2C9A6"/>
    <w:rsid w:val="12D38DDC"/>
    <w:rsid w:val="12DBBBA7"/>
    <w:rsid w:val="12F24897"/>
    <w:rsid w:val="13117E1E"/>
    <w:rsid w:val="13217F95"/>
    <w:rsid w:val="13230351"/>
    <w:rsid w:val="133284BE"/>
    <w:rsid w:val="13758398"/>
    <w:rsid w:val="1393BD4A"/>
    <w:rsid w:val="13D01830"/>
    <w:rsid w:val="13EEEDB4"/>
    <w:rsid w:val="13F2855D"/>
    <w:rsid w:val="1439B3EA"/>
    <w:rsid w:val="144FB4CC"/>
    <w:rsid w:val="14509865"/>
    <w:rsid w:val="1459C5EB"/>
    <w:rsid w:val="146B03EC"/>
    <w:rsid w:val="146D0D6C"/>
    <w:rsid w:val="1472EE48"/>
    <w:rsid w:val="147ED65F"/>
    <w:rsid w:val="1496F37C"/>
    <w:rsid w:val="14972506"/>
    <w:rsid w:val="149FE8A2"/>
    <w:rsid w:val="14A733B9"/>
    <w:rsid w:val="14A967CF"/>
    <w:rsid w:val="14DEDFF5"/>
    <w:rsid w:val="14EAF76B"/>
    <w:rsid w:val="14F13689"/>
    <w:rsid w:val="14F66C0C"/>
    <w:rsid w:val="14F76A8C"/>
    <w:rsid w:val="1528D6F8"/>
    <w:rsid w:val="153DB058"/>
    <w:rsid w:val="155B90C3"/>
    <w:rsid w:val="156CD341"/>
    <w:rsid w:val="1578B560"/>
    <w:rsid w:val="1582A15F"/>
    <w:rsid w:val="158E3F21"/>
    <w:rsid w:val="15E61CC5"/>
    <w:rsid w:val="15F6C099"/>
    <w:rsid w:val="1622BFB9"/>
    <w:rsid w:val="16444DC3"/>
    <w:rsid w:val="16607BDC"/>
    <w:rsid w:val="1683003E"/>
    <w:rsid w:val="169EE435"/>
    <w:rsid w:val="16B41D5D"/>
    <w:rsid w:val="16BE8D47"/>
    <w:rsid w:val="16CB5E0C"/>
    <w:rsid w:val="16DB0979"/>
    <w:rsid w:val="16E18676"/>
    <w:rsid w:val="16F834D6"/>
    <w:rsid w:val="170B07CE"/>
    <w:rsid w:val="1711000B"/>
    <w:rsid w:val="1711C9F5"/>
    <w:rsid w:val="171292D9"/>
    <w:rsid w:val="17193B5D"/>
    <w:rsid w:val="1719D2D5"/>
    <w:rsid w:val="1723A414"/>
    <w:rsid w:val="172ECB8F"/>
    <w:rsid w:val="174D6992"/>
    <w:rsid w:val="174D8532"/>
    <w:rsid w:val="17552E1C"/>
    <w:rsid w:val="175DE778"/>
    <w:rsid w:val="17765D1F"/>
    <w:rsid w:val="17989D5B"/>
    <w:rsid w:val="179BDD67"/>
    <w:rsid w:val="17AA5772"/>
    <w:rsid w:val="17B25BE1"/>
    <w:rsid w:val="17C5B9BA"/>
    <w:rsid w:val="17C854EE"/>
    <w:rsid w:val="180F74CA"/>
    <w:rsid w:val="18136E1F"/>
    <w:rsid w:val="18344A03"/>
    <w:rsid w:val="185B3563"/>
    <w:rsid w:val="188A60F6"/>
    <w:rsid w:val="18E3AD6C"/>
    <w:rsid w:val="18E3F49E"/>
    <w:rsid w:val="18E8E938"/>
    <w:rsid w:val="18FA80E9"/>
    <w:rsid w:val="19161F67"/>
    <w:rsid w:val="19191F68"/>
    <w:rsid w:val="19240AD7"/>
    <w:rsid w:val="192C7AA1"/>
    <w:rsid w:val="1932272A"/>
    <w:rsid w:val="193488F1"/>
    <w:rsid w:val="19591B9C"/>
    <w:rsid w:val="198836C8"/>
    <w:rsid w:val="199618DD"/>
    <w:rsid w:val="199F39A4"/>
    <w:rsid w:val="1A017A15"/>
    <w:rsid w:val="1A0A31E2"/>
    <w:rsid w:val="1A3CB2A2"/>
    <w:rsid w:val="1A4A1413"/>
    <w:rsid w:val="1A521304"/>
    <w:rsid w:val="1A7F5E94"/>
    <w:rsid w:val="1A8A12BE"/>
    <w:rsid w:val="1A96514A"/>
    <w:rsid w:val="1AAE4F6E"/>
    <w:rsid w:val="1AC9076F"/>
    <w:rsid w:val="1AFE4C86"/>
    <w:rsid w:val="1B625040"/>
    <w:rsid w:val="1B6988DC"/>
    <w:rsid w:val="1B7BD3C6"/>
    <w:rsid w:val="1B8740C2"/>
    <w:rsid w:val="1B89A2E1"/>
    <w:rsid w:val="1B89AB93"/>
    <w:rsid w:val="1BA2BE49"/>
    <w:rsid w:val="1BB10906"/>
    <w:rsid w:val="1BC201B8"/>
    <w:rsid w:val="1BC803FF"/>
    <w:rsid w:val="1BDB2A15"/>
    <w:rsid w:val="1BF83E75"/>
    <w:rsid w:val="1C289F3F"/>
    <w:rsid w:val="1C47DB9D"/>
    <w:rsid w:val="1C4FA6AD"/>
    <w:rsid w:val="1CB10979"/>
    <w:rsid w:val="1CB7AA01"/>
    <w:rsid w:val="1CC79BB6"/>
    <w:rsid w:val="1CDA7B37"/>
    <w:rsid w:val="1CFE20A1"/>
    <w:rsid w:val="1D02945B"/>
    <w:rsid w:val="1D1BBE8D"/>
    <w:rsid w:val="1D31E079"/>
    <w:rsid w:val="1D494083"/>
    <w:rsid w:val="1D4B5392"/>
    <w:rsid w:val="1D586E6D"/>
    <w:rsid w:val="1D6A749C"/>
    <w:rsid w:val="1D72C11A"/>
    <w:rsid w:val="1D74B31F"/>
    <w:rsid w:val="1D822B91"/>
    <w:rsid w:val="1DC84521"/>
    <w:rsid w:val="1DFE0AB3"/>
    <w:rsid w:val="1E044C8F"/>
    <w:rsid w:val="1E114820"/>
    <w:rsid w:val="1E157CAE"/>
    <w:rsid w:val="1E43E450"/>
    <w:rsid w:val="1E44C31C"/>
    <w:rsid w:val="1E649C32"/>
    <w:rsid w:val="1E76572B"/>
    <w:rsid w:val="1E82C085"/>
    <w:rsid w:val="1E8B6D4E"/>
    <w:rsid w:val="1E8DBD3D"/>
    <w:rsid w:val="1E98FD60"/>
    <w:rsid w:val="1EB9C779"/>
    <w:rsid w:val="1ED249C2"/>
    <w:rsid w:val="1EDE5846"/>
    <w:rsid w:val="1EDED196"/>
    <w:rsid w:val="1EE76FBD"/>
    <w:rsid w:val="1EFA6A23"/>
    <w:rsid w:val="1F0287A6"/>
    <w:rsid w:val="1F095BC8"/>
    <w:rsid w:val="1F46E6B0"/>
    <w:rsid w:val="1F747A9B"/>
    <w:rsid w:val="1F83AB4A"/>
    <w:rsid w:val="1FB892F1"/>
    <w:rsid w:val="1FBAB729"/>
    <w:rsid w:val="1FDD1182"/>
    <w:rsid w:val="1FFD6F0F"/>
    <w:rsid w:val="201AB18B"/>
    <w:rsid w:val="2026741C"/>
    <w:rsid w:val="205B0AC6"/>
    <w:rsid w:val="206319C6"/>
    <w:rsid w:val="206A3221"/>
    <w:rsid w:val="20790749"/>
    <w:rsid w:val="20A46AB9"/>
    <w:rsid w:val="20AE9B38"/>
    <w:rsid w:val="20B5530E"/>
    <w:rsid w:val="20CF780D"/>
    <w:rsid w:val="2121699E"/>
    <w:rsid w:val="2121BEF1"/>
    <w:rsid w:val="21370623"/>
    <w:rsid w:val="216E4EC5"/>
    <w:rsid w:val="217966B4"/>
    <w:rsid w:val="217BFEDD"/>
    <w:rsid w:val="2199A18F"/>
    <w:rsid w:val="21D83FDE"/>
    <w:rsid w:val="21DE6216"/>
    <w:rsid w:val="222E3DB2"/>
    <w:rsid w:val="2242C2F2"/>
    <w:rsid w:val="22723354"/>
    <w:rsid w:val="228DC7FA"/>
    <w:rsid w:val="229AB57C"/>
    <w:rsid w:val="22D89CEB"/>
    <w:rsid w:val="22E25BB1"/>
    <w:rsid w:val="22FC3D10"/>
    <w:rsid w:val="2301039F"/>
    <w:rsid w:val="23066F08"/>
    <w:rsid w:val="231C98E9"/>
    <w:rsid w:val="2335FD07"/>
    <w:rsid w:val="233F0DA9"/>
    <w:rsid w:val="23A31CE5"/>
    <w:rsid w:val="23CD139D"/>
    <w:rsid w:val="23EF33AD"/>
    <w:rsid w:val="240AC0B6"/>
    <w:rsid w:val="243A4F64"/>
    <w:rsid w:val="243AA616"/>
    <w:rsid w:val="243BB7CA"/>
    <w:rsid w:val="2454284F"/>
    <w:rsid w:val="24648268"/>
    <w:rsid w:val="2474B697"/>
    <w:rsid w:val="24825220"/>
    <w:rsid w:val="24968507"/>
    <w:rsid w:val="24AB1703"/>
    <w:rsid w:val="24C50931"/>
    <w:rsid w:val="24D560A9"/>
    <w:rsid w:val="24DF4F78"/>
    <w:rsid w:val="24EBAE11"/>
    <w:rsid w:val="2504F79A"/>
    <w:rsid w:val="25143FDA"/>
    <w:rsid w:val="258491D7"/>
    <w:rsid w:val="25D14361"/>
    <w:rsid w:val="25D7882B"/>
    <w:rsid w:val="26077C8B"/>
    <w:rsid w:val="2615008D"/>
    <w:rsid w:val="26204C0B"/>
    <w:rsid w:val="2633DDD2"/>
    <w:rsid w:val="2660D992"/>
    <w:rsid w:val="26ABB101"/>
    <w:rsid w:val="26D22D77"/>
    <w:rsid w:val="26DF300F"/>
    <w:rsid w:val="26E67CFC"/>
    <w:rsid w:val="26EDE49B"/>
    <w:rsid w:val="271A3619"/>
    <w:rsid w:val="272BE290"/>
    <w:rsid w:val="272EC9F4"/>
    <w:rsid w:val="2739396A"/>
    <w:rsid w:val="274E5DE8"/>
    <w:rsid w:val="275940DF"/>
    <w:rsid w:val="27684A6C"/>
    <w:rsid w:val="276B909E"/>
    <w:rsid w:val="27BC1C6C"/>
    <w:rsid w:val="27D9AD03"/>
    <w:rsid w:val="28014D2D"/>
    <w:rsid w:val="281DC551"/>
    <w:rsid w:val="2830E36B"/>
    <w:rsid w:val="283BF4F7"/>
    <w:rsid w:val="284C1E1E"/>
    <w:rsid w:val="285F4798"/>
    <w:rsid w:val="2884EBE8"/>
    <w:rsid w:val="2887670B"/>
    <w:rsid w:val="2887E053"/>
    <w:rsid w:val="288DF593"/>
    <w:rsid w:val="288FDC3B"/>
    <w:rsid w:val="28BD3DAE"/>
    <w:rsid w:val="28CD1125"/>
    <w:rsid w:val="28E64813"/>
    <w:rsid w:val="28F1FD2C"/>
    <w:rsid w:val="28F871D0"/>
    <w:rsid w:val="28F9BD32"/>
    <w:rsid w:val="29042F39"/>
    <w:rsid w:val="291333CD"/>
    <w:rsid w:val="292833C5"/>
    <w:rsid w:val="293DB361"/>
    <w:rsid w:val="29491F7E"/>
    <w:rsid w:val="2990ECBD"/>
    <w:rsid w:val="299F21CE"/>
    <w:rsid w:val="29A8CADA"/>
    <w:rsid w:val="29BA9F2B"/>
    <w:rsid w:val="29CB2F7D"/>
    <w:rsid w:val="29D92160"/>
    <w:rsid w:val="29EC41D1"/>
    <w:rsid w:val="29FB7323"/>
    <w:rsid w:val="2A01EAC2"/>
    <w:rsid w:val="2A0BED39"/>
    <w:rsid w:val="2A15D331"/>
    <w:rsid w:val="2A2CFA07"/>
    <w:rsid w:val="2A3B0085"/>
    <w:rsid w:val="2A52487B"/>
    <w:rsid w:val="2A64524D"/>
    <w:rsid w:val="2A9ADEB2"/>
    <w:rsid w:val="2A9DE32F"/>
    <w:rsid w:val="2A9E6172"/>
    <w:rsid w:val="2AA846D3"/>
    <w:rsid w:val="2AC6BA46"/>
    <w:rsid w:val="2B0482FA"/>
    <w:rsid w:val="2B277EC5"/>
    <w:rsid w:val="2B2F638E"/>
    <w:rsid w:val="2B3007B4"/>
    <w:rsid w:val="2B38FD40"/>
    <w:rsid w:val="2B9CC99C"/>
    <w:rsid w:val="2BA26D7F"/>
    <w:rsid w:val="2BB5B350"/>
    <w:rsid w:val="2C1D5BB2"/>
    <w:rsid w:val="2C1DE8D5"/>
    <w:rsid w:val="2C759149"/>
    <w:rsid w:val="2C7C1D8E"/>
    <w:rsid w:val="2C82BCCA"/>
    <w:rsid w:val="2C877215"/>
    <w:rsid w:val="2C907775"/>
    <w:rsid w:val="2C90A692"/>
    <w:rsid w:val="2CBD071D"/>
    <w:rsid w:val="2CC16AEB"/>
    <w:rsid w:val="2CD3CCEA"/>
    <w:rsid w:val="2CEE920B"/>
    <w:rsid w:val="2D099FEA"/>
    <w:rsid w:val="2D2A30EA"/>
    <w:rsid w:val="2D52EBF2"/>
    <w:rsid w:val="2D60AFA7"/>
    <w:rsid w:val="2D62F11B"/>
    <w:rsid w:val="2D7DD357"/>
    <w:rsid w:val="2D7FD888"/>
    <w:rsid w:val="2D89E93D"/>
    <w:rsid w:val="2D8EE94B"/>
    <w:rsid w:val="2DE6975C"/>
    <w:rsid w:val="2DF36D4E"/>
    <w:rsid w:val="2E0828EA"/>
    <w:rsid w:val="2E12DFD2"/>
    <w:rsid w:val="2E1AE037"/>
    <w:rsid w:val="2E329104"/>
    <w:rsid w:val="2E41EFA4"/>
    <w:rsid w:val="2E662F6A"/>
    <w:rsid w:val="2E6825B2"/>
    <w:rsid w:val="2E96652C"/>
    <w:rsid w:val="2EA6F187"/>
    <w:rsid w:val="2EBA5AF1"/>
    <w:rsid w:val="2EBEB06C"/>
    <w:rsid w:val="2ECF9C2B"/>
    <w:rsid w:val="2ED4B6D0"/>
    <w:rsid w:val="2F211170"/>
    <w:rsid w:val="2F25B99E"/>
    <w:rsid w:val="2F3572EC"/>
    <w:rsid w:val="2F46DC2F"/>
    <w:rsid w:val="2F7E5151"/>
    <w:rsid w:val="2FAA42E5"/>
    <w:rsid w:val="2FCE6165"/>
    <w:rsid w:val="30134285"/>
    <w:rsid w:val="30192BE1"/>
    <w:rsid w:val="30267B8F"/>
    <w:rsid w:val="3042C1E8"/>
    <w:rsid w:val="3048EBEA"/>
    <w:rsid w:val="304E8344"/>
    <w:rsid w:val="3057B5E5"/>
    <w:rsid w:val="30612EC5"/>
    <w:rsid w:val="307AFF76"/>
    <w:rsid w:val="308D36F2"/>
    <w:rsid w:val="30A65F4F"/>
    <w:rsid w:val="30ADCD5C"/>
    <w:rsid w:val="30C80F1A"/>
    <w:rsid w:val="30E18C9D"/>
    <w:rsid w:val="31002325"/>
    <w:rsid w:val="31178857"/>
    <w:rsid w:val="312F1DFB"/>
    <w:rsid w:val="314AA6A9"/>
    <w:rsid w:val="31904FEF"/>
    <w:rsid w:val="31B1F70E"/>
    <w:rsid w:val="31BC3315"/>
    <w:rsid w:val="31BD926D"/>
    <w:rsid w:val="31D5645C"/>
    <w:rsid w:val="31E84F37"/>
    <w:rsid w:val="31F424E6"/>
    <w:rsid w:val="321552B2"/>
    <w:rsid w:val="322F8AC6"/>
    <w:rsid w:val="32321893"/>
    <w:rsid w:val="32422FB0"/>
    <w:rsid w:val="324ADD59"/>
    <w:rsid w:val="32594760"/>
    <w:rsid w:val="327226B0"/>
    <w:rsid w:val="32730AD4"/>
    <w:rsid w:val="327E1726"/>
    <w:rsid w:val="32B5F213"/>
    <w:rsid w:val="32E06DA9"/>
    <w:rsid w:val="32F10216"/>
    <w:rsid w:val="33024948"/>
    <w:rsid w:val="33104C19"/>
    <w:rsid w:val="331F0134"/>
    <w:rsid w:val="333ED3CF"/>
    <w:rsid w:val="33466E3E"/>
    <w:rsid w:val="33684BD9"/>
    <w:rsid w:val="3379CEDC"/>
    <w:rsid w:val="337EED0A"/>
    <w:rsid w:val="338605C8"/>
    <w:rsid w:val="338B7375"/>
    <w:rsid w:val="33BC5A2C"/>
    <w:rsid w:val="33CBC895"/>
    <w:rsid w:val="33F92AC1"/>
    <w:rsid w:val="343E19AF"/>
    <w:rsid w:val="346F781B"/>
    <w:rsid w:val="347332E7"/>
    <w:rsid w:val="347EAC0F"/>
    <w:rsid w:val="3494E42B"/>
    <w:rsid w:val="34A5F44C"/>
    <w:rsid w:val="34A6AC9D"/>
    <w:rsid w:val="34DD7337"/>
    <w:rsid w:val="34EDB328"/>
    <w:rsid w:val="35163DA3"/>
    <w:rsid w:val="35273167"/>
    <w:rsid w:val="3541F7ED"/>
    <w:rsid w:val="355EA95F"/>
    <w:rsid w:val="357DA417"/>
    <w:rsid w:val="3586F54E"/>
    <w:rsid w:val="35A51DA7"/>
    <w:rsid w:val="35AC7D22"/>
    <w:rsid w:val="35EDBD21"/>
    <w:rsid w:val="35F3A6D6"/>
    <w:rsid w:val="35F5997B"/>
    <w:rsid w:val="35FCF6E1"/>
    <w:rsid w:val="36084AA9"/>
    <w:rsid w:val="361A368A"/>
    <w:rsid w:val="36366FD5"/>
    <w:rsid w:val="3644391C"/>
    <w:rsid w:val="366FE835"/>
    <w:rsid w:val="36705B2C"/>
    <w:rsid w:val="367984D8"/>
    <w:rsid w:val="367D6028"/>
    <w:rsid w:val="36AD5E28"/>
    <w:rsid w:val="36B354BE"/>
    <w:rsid w:val="36C0BF8B"/>
    <w:rsid w:val="36C5312E"/>
    <w:rsid w:val="36DF7C43"/>
    <w:rsid w:val="36DF9708"/>
    <w:rsid w:val="36FC7876"/>
    <w:rsid w:val="3730CB83"/>
    <w:rsid w:val="374A70C8"/>
    <w:rsid w:val="3758A62B"/>
    <w:rsid w:val="37C4F43F"/>
    <w:rsid w:val="37E0E129"/>
    <w:rsid w:val="37F22496"/>
    <w:rsid w:val="37FB896D"/>
    <w:rsid w:val="380733FB"/>
    <w:rsid w:val="3810F20C"/>
    <w:rsid w:val="38122E7E"/>
    <w:rsid w:val="382DFC0D"/>
    <w:rsid w:val="383DEE2E"/>
    <w:rsid w:val="385DA760"/>
    <w:rsid w:val="386592B2"/>
    <w:rsid w:val="38705EAC"/>
    <w:rsid w:val="3884486B"/>
    <w:rsid w:val="38B735DA"/>
    <w:rsid w:val="38EBFCC3"/>
    <w:rsid w:val="38F6CAB9"/>
    <w:rsid w:val="393650B9"/>
    <w:rsid w:val="3937722B"/>
    <w:rsid w:val="394196C0"/>
    <w:rsid w:val="39508C1F"/>
    <w:rsid w:val="395AE873"/>
    <w:rsid w:val="397CB18A"/>
    <w:rsid w:val="397F1063"/>
    <w:rsid w:val="398B1B8F"/>
    <w:rsid w:val="3993C1DC"/>
    <w:rsid w:val="39A0FC6E"/>
    <w:rsid w:val="39A35D03"/>
    <w:rsid w:val="39B6CAC4"/>
    <w:rsid w:val="39E4296C"/>
    <w:rsid w:val="3A0A9F27"/>
    <w:rsid w:val="3A5428A5"/>
    <w:rsid w:val="3A54B608"/>
    <w:rsid w:val="3A695E4F"/>
    <w:rsid w:val="3A99BF82"/>
    <w:rsid w:val="3AA7056B"/>
    <w:rsid w:val="3AC5B161"/>
    <w:rsid w:val="3ACBDA31"/>
    <w:rsid w:val="3AE35C7F"/>
    <w:rsid w:val="3B143003"/>
    <w:rsid w:val="3B159882"/>
    <w:rsid w:val="3B22A16B"/>
    <w:rsid w:val="3B240855"/>
    <w:rsid w:val="3B3FEFB6"/>
    <w:rsid w:val="3B5930B5"/>
    <w:rsid w:val="3B71FF98"/>
    <w:rsid w:val="3B833CE3"/>
    <w:rsid w:val="3B85FDBD"/>
    <w:rsid w:val="3BC1A685"/>
    <w:rsid w:val="3BDF9403"/>
    <w:rsid w:val="3C18A7D5"/>
    <w:rsid w:val="3C2FA2DE"/>
    <w:rsid w:val="3C3D8D4E"/>
    <w:rsid w:val="3C3E3FC4"/>
    <w:rsid w:val="3C5351ED"/>
    <w:rsid w:val="3C5A7CD4"/>
    <w:rsid w:val="3C6E199B"/>
    <w:rsid w:val="3C7EFE0C"/>
    <w:rsid w:val="3C8EE08B"/>
    <w:rsid w:val="3C93DB6B"/>
    <w:rsid w:val="3C9F5A35"/>
    <w:rsid w:val="3CA2B166"/>
    <w:rsid w:val="3CA8952F"/>
    <w:rsid w:val="3CAE6D1F"/>
    <w:rsid w:val="3D25830B"/>
    <w:rsid w:val="3D39FC1D"/>
    <w:rsid w:val="3D4EC672"/>
    <w:rsid w:val="3D79FC57"/>
    <w:rsid w:val="3D80B772"/>
    <w:rsid w:val="3D99257A"/>
    <w:rsid w:val="3DA148CE"/>
    <w:rsid w:val="3DBACF48"/>
    <w:rsid w:val="3DC251C8"/>
    <w:rsid w:val="3DC5FB9F"/>
    <w:rsid w:val="3DDFFB8F"/>
    <w:rsid w:val="3DE423B4"/>
    <w:rsid w:val="3DE693B3"/>
    <w:rsid w:val="3E08111E"/>
    <w:rsid w:val="3E09E9FC"/>
    <w:rsid w:val="3E0DEC43"/>
    <w:rsid w:val="3E2A49E4"/>
    <w:rsid w:val="3E3164EA"/>
    <w:rsid w:val="3E3F03B6"/>
    <w:rsid w:val="3E4FB66A"/>
    <w:rsid w:val="3E55F50C"/>
    <w:rsid w:val="3E8257B7"/>
    <w:rsid w:val="3E89FCC7"/>
    <w:rsid w:val="3ED180CB"/>
    <w:rsid w:val="3F15CCB8"/>
    <w:rsid w:val="3F341441"/>
    <w:rsid w:val="3F34FED2"/>
    <w:rsid w:val="3F3C77C1"/>
    <w:rsid w:val="3FC092AC"/>
    <w:rsid w:val="3FC5437F"/>
    <w:rsid w:val="3FD21374"/>
    <w:rsid w:val="3FE1974D"/>
    <w:rsid w:val="3FFCD65E"/>
    <w:rsid w:val="4011508C"/>
    <w:rsid w:val="403C190D"/>
    <w:rsid w:val="403D3F84"/>
    <w:rsid w:val="404B3DAE"/>
    <w:rsid w:val="40567E9F"/>
    <w:rsid w:val="406291B7"/>
    <w:rsid w:val="4064A2B2"/>
    <w:rsid w:val="407439B5"/>
    <w:rsid w:val="4088292B"/>
    <w:rsid w:val="409DB345"/>
    <w:rsid w:val="40EFFC70"/>
    <w:rsid w:val="40F0EAE3"/>
    <w:rsid w:val="40FEF748"/>
    <w:rsid w:val="411027FC"/>
    <w:rsid w:val="41158B7F"/>
    <w:rsid w:val="4130A6B9"/>
    <w:rsid w:val="413BE6C8"/>
    <w:rsid w:val="4154D93F"/>
    <w:rsid w:val="4160D1F5"/>
    <w:rsid w:val="416101AD"/>
    <w:rsid w:val="417EF193"/>
    <w:rsid w:val="419349D9"/>
    <w:rsid w:val="41BE0165"/>
    <w:rsid w:val="41D9560A"/>
    <w:rsid w:val="41DD6AE0"/>
    <w:rsid w:val="42175DDA"/>
    <w:rsid w:val="4232DB6D"/>
    <w:rsid w:val="423B7D9D"/>
    <w:rsid w:val="423D62BB"/>
    <w:rsid w:val="4256A935"/>
    <w:rsid w:val="426CE56F"/>
    <w:rsid w:val="4280204F"/>
    <w:rsid w:val="4285C37E"/>
    <w:rsid w:val="428864BC"/>
    <w:rsid w:val="429AC7A9"/>
    <w:rsid w:val="4305F099"/>
    <w:rsid w:val="431A5D0A"/>
    <w:rsid w:val="4336B6A0"/>
    <w:rsid w:val="4344458D"/>
    <w:rsid w:val="4346E6EB"/>
    <w:rsid w:val="434C7C82"/>
    <w:rsid w:val="434D6677"/>
    <w:rsid w:val="438CB1E6"/>
    <w:rsid w:val="43994029"/>
    <w:rsid w:val="43B61935"/>
    <w:rsid w:val="43BED211"/>
    <w:rsid w:val="43CDEC59"/>
    <w:rsid w:val="43D9CE9B"/>
    <w:rsid w:val="43F52635"/>
    <w:rsid w:val="43FA87DC"/>
    <w:rsid w:val="440984B2"/>
    <w:rsid w:val="440A1228"/>
    <w:rsid w:val="444DE7B1"/>
    <w:rsid w:val="448ADC02"/>
    <w:rsid w:val="448B5580"/>
    <w:rsid w:val="44A322A7"/>
    <w:rsid w:val="44C5EC46"/>
    <w:rsid w:val="4513BCBD"/>
    <w:rsid w:val="452DE3EE"/>
    <w:rsid w:val="4535108A"/>
    <w:rsid w:val="4542AB20"/>
    <w:rsid w:val="45A96091"/>
    <w:rsid w:val="45AB1EEC"/>
    <w:rsid w:val="45B1CDBA"/>
    <w:rsid w:val="45B28501"/>
    <w:rsid w:val="45D2686B"/>
    <w:rsid w:val="45D3D262"/>
    <w:rsid w:val="4606F16B"/>
    <w:rsid w:val="46209C9E"/>
    <w:rsid w:val="4620C112"/>
    <w:rsid w:val="464349CF"/>
    <w:rsid w:val="46942AE7"/>
    <w:rsid w:val="469572D0"/>
    <w:rsid w:val="46B1E7A8"/>
    <w:rsid w:val="46C452A8"/>
    <w:rsid w:val="46CC0C24"/>
    <w:rsid w:val="46DE5135"/>
    <w:rsid w:val="46E86FD0"/>
    <w:rsid w:val="470D31EF"/>
    <w:rsid w:val="478D75F9"/>
    <w:rsid w:val="4799A247"/>
    <w:rsid w:val="47A79ED2"/>
    <w:rsid w:val="47B2AC56"/>
    <w:rsid w:val="47ED5193"/>
    <w:rsid w:val="4801FDF6"/>
    <w:rsid w:val="480E2063"/>
    <w:rsid w:val="481C693B"/>
    <w:rsid w:val="48240CA3"/>
    <w:rsid w:val="482F4F28"/>
    <w:rsid w:val="482FFB48"/>
    <w:rsid w:val="483CB003"/>
    <w:rsid w:val="484296A6"/>
    <w:rsid w:val="485F3AB4"/>
    <w:rsid w:val="486BEFB5"/>
    <w:rsid w:val="48868D2B"/>
    <w:rsid w:val="4894C9DC"/>
    <w:rsid w:val="48A39C49"/>
    <w:rsid w:val="48AD2DF0"/>
    <w:rsid w:val="48B46BDD"/>
    <w:rsid w:val="48BE9778"/>
    <w:rsid w:val="48CCD857"/>
    <w:rsid w:val="48E5A712"/>
    <w:rsid w:val="48E6608B"/>
    <w:rsid w:val="48EEBD59"/>
    <w:rsid w:val="48FD9CC8"/>
    <w:rsid w:val="4916124A"/>
    <w:rsid w:val="4931F2A7"/>
    <w:rsid w:val="493D3F1C"/>
    <w:rsid w:val="4942C895"/>
    <w:rsid w:val="49436F33"/>
    <w:rsid w:val="494E6C1E"/>
    <w:rsid w:val="495641A8"/>
    <w:rsid w:val="498CC907"/>
    <w:rsid w:val="49B8C19D"/>
    <w:rsid w:val="49BFDD04"/>
    <w:rsid w:val="49C220DB"/>
    <w:rsid w:val="49E35152"/>
    <w:rsid w:val="49ECCA27"/>
    <w:rsid w:val="49F382ED"/>
    <w:rsid w:val="49FED0AE"/>
    <w:rsid w:val="4A115E70"/>
    <w:rsid w:val="4A16CDE3"/>
    <w:rsid w:val="4A1C05F8"/>
    <w:rsid w:val="4A3F6CAA"/>
    <w:rsid w:val="4A8AFEAC"/>
    <w:rsid w:val="4AA194DF"/>
    <w:rsid w:val="4AC516BB"/>
    <w:rsid w:val="4AD5A84C"/>
    <w:rsid w:val="4AE0D0EC"/>
    <w:rsid w:val="4B01F926"/>
    <w:rsid w:val="4B37C122"/>
    <w:rsid w:val="4B6C70EA"/>
    <w:rsid w:val="4B7BE8DC"/>
    <w:rsid w:val="4BA02544"/>
    <w:rsid w:val="4BA2450D"/>
    <w:rsid w:val="4BD265A9"/>
    <w:rsid w:val="4C247470"/>
    <w:rsid w:val="4C4DB30C"/>
    <w:rsid w:val="4C4E18D5"/>
    <w:rsid w:val="4C619C5F"/>
    <w:rsid w:val="4C69D21F"/>
    <w:rsid w:val="4C8E7C56"/>
    <w:rsid w:val="4CA43605"/>
    <w:rsid w:val="4CBA01D7"/>
    <w:rsid w:val="4CD9D056"/>
    <w:rsid w:val="4CFF9ABD"/>
    <w:rsid w:val="4D17B93D"/>
    <w:rsid w:val="4D2C7B8F"/>
    <w:rsid w:val="4D33846A"/>
    <w:rsid w:val="4D33942C"/>
    <w:rsid w:val="4D3DECC8"/>
    <w:rsid w:val="4D413449"/>
    <w:rsid w:val="4D4C5D38"/>
    <w:rsid w:val="4D76F7C4"/>
    <w:rsid w:val="4D7DE22A"/>
    <w:rsid w:val="4D9769D1"/>
    <w:rsid w:val="4DAD14DE"/>
    <w:rsid w:val="4DB42D01"/>
    <w:rsid w:val="4DBF5A64"/>
    <w:rsid w:val="4DDE33C7"/>
    <w:rsid w:val="4DDED362"/>
    <w:rsid w:val="4DFDB7F9"/>
    <w:rsid w:val="4E19F0D6"/>
    <w:rsid w:val="4E23141B"/>
    <w:rsid w:val="4E29C235"/>
    <w:rsid w:val="4E2F0907"/>
    <w:rsid w:val="4E451EEA"/>
    <w:rsid w:val="4E52DC74"/>
    <w:rsid w:val="4E633AC1"/>
    <w:rsid w:val="4EC5E440"/>
    <w:rsid w:val="4EC891D3"/>
    <w:rsid w:val="4ECF5337"/>
    <w:rsid w:val="4EE65BA0"/>
    <w:rsid w:val="4EED389B"/>
    <w:rsid w:val="4EFC4FA0"/>
    <w:rsid w:val="4EFEDE51"/>
    <w:rsid w:val="4F306CF2"/>
    <w:rsid w:val="4F316EDE"/>
    <w:rsid w:val="4F4574F7"/>
    <w:rsid w:val="4F69F5CA"/>
    <w:rsid w:val="4F91710E"/>
    <w:rsid w:val="4FBBA22A"/>
    <w:rsid w:val="4FC52235"/>
    <w:rsid w:val="4FE52CB3"/>
    <w:rsid w:val="5033191B"/>
    <w:rsid w:val="50562681"/>
    <w:rsid w:val="506E0896"/>
    <w:rsid w:val="5098EDE4"/>
    <w:rsid w:val="50D82567"/>
    <w:rsid w:val="50DFF4BB"/>
    <w:rsid w:val="50E63CEC"/>
    <w:rsid w:val="50F9A112"/>
    <w:rsid w:val="51035EEE"/>
    <w:rsid w:val="51226868"/>
    <w:rsid w:val="513762EE"/>
    <w:rsid w:val="51710799"/>
    <w:rsid w:val="517624F8"/>
    <w:rsid w:val="517E0B6F"/>
    <w:rsid w:val="517FFBF6"/>
    <w:rsid w:val="5181ECC3"/>
    <w:rsid w:val="518D0D14"/>
    <w:rsid w:val="51927F9B"/>
    <w:rsid w:val="51C390A1"/>
    <w:rsid w:val="51C95E33"/>
    <w:rsid w:val="51D7EC28"/>
    <w:rsid w:val="51E5C7E8"/>
    <w:rsid w:val="51F80925"/>
    <w:rsid w:val="5208A0B6"/>
    <w:rsid w:val="5223DD86"/>
    <w:rsid w:val="522717DD"/>
    <w:rsid w:val="523B63C5"/>
    <w:rsid w:val="524DE3A9"/>
    <w:rsid w:val="5252332D"/>
    <w:rsid w:val="525239BB"/>
    <w:rsid w:val="5261C004"/>
    <w:rsid w:val="526CE6D7"/>
    <w:rsid w:val="527CCAC1"/>
    <w:rsid w:val="529EA1E9"/>
    <w:rsid w:val="529FEE05"/>
    <w:rsid w:val="52CBE6BD"/>
    <w:rsid w:val="52D028A0"/>
    <w:rsid w:val="52EBAA17"/>
    <w:rsid w:val="52F48FCE"/>
    <w:rsid w:val="52FD3358"/>
    <w:rsid w:val="533C0CE8"/>
    <w:rsid w:val="533D0E59"/>
    <w:rsid w:val="536352FC"/>
    <w:rsid w:val="53838007"/>
    <w:rsid w:val="538F7920"/>
    <w:rsid w:val="53A7CAAD"/>
    <w:rsid w:val="53B836D1"/>
    <w:rsid w:val="53BF64A6"/>
    <w:rsid w:val="53CDF15F"/>
    <w:rsid w:val="53D5F415"/>
    <w:rsid w:val="53D6196A"/>
    <w:rsid w:val="5408B738"/>
    <w:rsid w:val="54145230"/>
    <w:rsid w:val="54343A1C"/>
    <w:rsid w:val="5435D1DE"/>
    <w:rsid w:val="54376B65"/>
    <w:rsid w:val="549C6043"/>
    <w:rsid w:val="54C33BAF"/>
    <w:rsid w:val="54C52AF0"/>
    <w:rsid w:val="54D09E66"/>
    <w:rsid w:val="553EA611"/>
    <w:rsid w:val="5550A232"/>
    <w:rsid w:val="555DC814"/>
    <w:rsid w:val="556808AA"/>
    <w:rsid w:val="556E40B1"/>
    <w:rsid w:val="55749408"/>
    <w:rsid w:val="558102B2"/>
    <w:rsid w:val="55A2A8D5"/>
    <w:rsid w:val="55C0B31E"/>
    <w:rsid w:val="55F4F653"/>
    <w:rsid w:val="55FC7E31"/>
    <w:rsid w:val="561CB0A9"/>
    <w:rsid w:val="5650DB2D"/>
    <w:rsid w:val="56527B92"/>
    <w:rsid w:val="565CEE91"/>
    <w:rsid w:val="566877A9"/>
    <w:rsid w:val="566C60A1"/>
    <w:rsid w:val="567CD2E6"/>
    <w:rsid w:val="568DD778"/>
    <w:rsid w:val="569362A5"/>
    <w:rsid w:val="56AC0BBA"/>
    <w:rsid w:val="56F16D85"/>
    <w:rsid w:val="56FAEEC7"/>
    <w:rsid w:val="571CD313"/>
    <w:rsid w:val="572082B8"/>
    <w:rsid w:val="5734DB54"/>
    <w:rsid w:val="5786D403"/>
    <w:rsid w:val="57B6F522"/>
    <w:rsid w:val="57D70C5B"/>
    <w:rsid w:val="57E95074"/>
    <w:rsid w:val="585092EF"/>
    <w:rsid w:val="585B7989"/>
    <w:rsid w:val="587646D3"/>
    <w:rsid w:val="588B09F1"/>
    <w:rsid w:val="589E7B77"/>
    <w:rsid w:val="58D3F0A1"/>
    <w:rsid w:val="58E73D08"/>
    <w:rsid w:val="59191FA5"/>
    <w:rsid w:val="591DE725"/>
    <w:rsid w:val="5929048E"/>
    <w:rsid w:val="5960DCBF"/>
    <w:rsid w:val="597D09D2"/>
    <w:rsid w:val="598B0DDB"/>
    <w:rsid w:val="5990300F"/>
    <w:rsid w:val="5992BF64"/>
    <w:rsid w:val="59ADF556"/>
    <w:rsid w:val="59BE2599"/>
    <w:rsid w:val="59D37E0E"/>
    <w:rsid w:val="59ECA66B"/>
    <w:rsid w:val="5A075F06"/>
    <w:rsid w:val="5A1551C1"/>
    <w:rsid w:val="5A1717C2"/>
    <w:rsid w:val="5A1A04BA"/>
    <w:rsid w:val="5A23E604"/>
    <w:rsid w:val="5A4F2D21"/>
    <w:rsid w:val="5A5CFFE1"/>
    <w:rsid w:val="5A750B47"/>
    <w:rsid w:val="5AC203C5"/>
    <w:rsid w:val="5AC2A1A7"/>
    <w:rsid w:val="5AC4D4EF"/>
    <w:rsid w:val="5AE7B201"/>
    <w:rsid w:val="5B080CDA"/>
    <w:rsid w:val="5B49D4B1"/>
    <w:rsid w:val="5B51056A"/>
    <w:rsid w:val="5B5F0185"/>
    <w:rsid w:val="5B6F4E6F"/>
    <w:rsid w:val="5BA0C652"/>
    <w:rsid w:val="5BADE795"/>
    <w:rsid w:val="5BEB05B8"/>
    <w:rsid w:val="5C1775B5"/>
    <w:rsid w:val="5C58D8E9"/>
    <w:rsid w:val="5C5B60BD"/>
    <w:rsid w:val="5C668DF9"/>
    <w:rsid w:val="5C70F6B0"/>
    <w:rsid w:val="5C7B1BE2"/>
    <w:rsid w:val="5C838262"/>
    <w:rsid w:val="5CCD9F7B"/>
    <w:rsid w:val="5CD58BC3"/>
    <w:rsid w:val="5CDEB949"/>
    <w:rsid w:val="5CF57055"/>
    <w:rsid w:val="5CF7B510"/>
    <w:rsid w:val="5D0B1ED0"/>
    <w:rsid w:val="5D1CD33D"/>
    <w:rsid w:val="5D2A143A"/>
    <w:rsid w:val="5D30119F"/>
    <w:rsid w:val="5D32684F"/>
    <w:rsid w:val="5D51A57C"/>
    <w:rsid w:val="5DA76387"/>
    <w:rsid w:val="5DF1D031"/>
    <w:rsid w:val="5E1429DC"/>
    <w:rsid w:val="5E16EC43"/>
    <w:rsid w:val="5E3B172B"/>
    <w:rsid w:val="5E4D9416"/>
    <w:rsid w:val="5E52BF04"/>
    <w:rsid w:val="5E67CBCC"/>
    <w:rsid w:val="5E704DB4"/>
    <w:rsid w:val="5E9CBAAB"/>
    <w:rsid w:val="5EDE33BA"/>
    <w:rsid w:val="5EF07D52"/>
    <w:rsid w:val="5F2A5848"/>
    <w:rsid w:val="5F35D913"/>
    <w:rsid w:val="5F3E293B"/>
    <w:rsid w:val="5F54ECCC"/>
    <w:rsid w:val="5F6079CE"/>
    <w:rsid w:val="5F772F1F"/>
    <w:rsid w:val="5FA84035"/>
    <w:rsid w:val="5FA8412E"/>
    <w:rsid w:val="5FB2BCA4"/>
    <w:rsid w:val="5FE0357B"/>
    <w:rsid w:val="5FE1DF51"/>
    <w:rsid w:val="5FF4B02D"/>
    <w:rsid w:val="60039C2D"/>
    <w:rsid w:val="6006DF0B"/>
    <w:rsid w:val="600BA7EB"/>
    <w:rsid w:val="60150D38"/>
    <w:rsid w:val="602F6D73"/>
    <w:rsid w:val="603555A0"/>
    <w:rsid w:val="6045CD21"/>
    <w:rsid w:val="605584F1"/>
    <w:rsid w:val="60651182"/>
    <w:rsid w:val="60697E76"/>
    <w:rsid w:val="606D09CD"/>
    <w:rsid w:val="608A46BA"/>
    <w:rsid w:val="60A3A004"/>
    <w:rsid w:val="60C5DBEC"/>
    <w:rsid w:val="60C72C97"/>
    <w:rsid w:val="60D2CFB9"/>
    <w:rsid w:val="60EC21CB"/>
    <w:rsid w:val="60F0BD2D"/>
    <w:rsid w:val="60FD4863"/>
    <w:rsid w:val="61340967"/>
    <w:rsid w:val="61368285"/>
    <w:rsid w:val="6160156C"/>
    <w:rsid w:val="61A2C6BA"/>
    <w:rsid w:val="61FF3C5A"/>
    <w:rsid w:val="621BC012"/>
    <w:rsid w:val="621FA9BE"/>
    <w:rsid w:val="62235374"/>
    <w:rsid w:val="6226171B"/>
    <w:rsid w:val="62374476"/>
    <w:rsid w:val="623C5112"/>
    <w:rsid w:val="6261F90A"/>
    <w:rsid w:val="626EC9CF"/>
    <w:rsid w:val="6284F239"/>
    <w:rsid w:val="62942737"/>
    <w:rsid w:val="62BCA720"/>
    <w:rsid w:val="62C2B607"/>
    <w:rsid w:val="62C73327"/>
    <w:rsid w:val="62CFD9C8"/>
    <w:rsid w:val="62E6E83D"/>
    <w:rsid w:val="62EA5D66"/>
    <w:rsid w:val="62FB270D"/>
    <w:rsid w:val="630A6E7A"/>
    <w:rsid w:val="631597BD"/>
    <w:rsid w:val="6344E185"/>
    <w:rsid w:val="6346C680"/>
    <w:rsid w:val="63496737"/>
    <w:rsid w:val="634DFACD"/>
    <w:rsid w:val="636478FD"/>
    <w:rsid w:val="637A6054"/>
    <w:rsid w:val="63885B04"/>
    <w:rsid w:val="639B0CBB"/>
    <w:rsid w:val="63AA9094"/>
    <w:rsid w:val="63C1E77C"/>
    <w:rsid w:val="63D314D7"/>
    <w:rsid w:val="63E19506"/>
    <w:rsid w:val="63E40FA1"/>
    <w:rsid w:val="6405F0BD"/>
    <w:rsid w:val="640ACD82"/>
    <w:rsid w:val="6446F516"/>
    <w:rsid w:val="644B72FB"/>
    <w:rsid w:val="64636C4F"/>
    <w:rsid w:val="6476134E"/>
    <w:rsid w:val="64B733B7"/>
    <w:rsid w:val="64CB7631"/>
    <w:rsid w:val="64D1F5AF"/>
    <w:rsid w:val="654EB0EE"/>
    <w:rsid w:val="655CB761"/>
    <w:rsid w:val="65687FB7"/>
    <w:rsid w:val="657CC9EF"/>
    <w:rsid w:val="658619FA"/>
    <w:rsid w:val="65875703"/>
    <w:rsid w:val="65C23CAB"/>
    <w:rsid w:val="65F47948"/>
    <w:rsid w:val="66050F31"/>
    <w:rsid w:val="661A2B1A"/>
    <w:rsid w:val="664D387F"/>
    <w:rsid w:val="664F76FF"/>
    <w:rsid w:val="66546078"/>
    <w:rsid w:val="666AC64E"/>
    <w:rsid w:val="666C1263"/>
    <w:rsid w:val="6677E0A8"/>
    <w:rsid w:val="66A0CE4C"/>
    <w:rsid w:val="66B3281A"/>
    <w:rsid w:val="66B79C8B"/>
    <w:rsid w:val="66C58FB8"/>
    <w:rsid w:val="66C84D27"/>
    <w:rsid w:val="66EA814F"/>
    <w:rsid w:val="66F4945B"/>
    <w:rsid w:val="66F887C2"/>
    <w:rsid w:val="66FF5D4E"/>
    <w:rsid w:val="671060AC"/>
    <w:rsid w:val="67190E91"/>
    <w:rsid w:val="671B480F"/>
    <w:rsid w:val="6721EA5B"/>
    <w:rsid w:val="67356A2D"/>
    <w:rsid w:val="673A205F"/>
    <w:rsid w:val="67539ACA"/>
    <w:rsid w:val="675474C9"/>
    <w:rsid w:val="6758635C"/>
    <w:rsid w:val="67725E66"/>
    <w:rsid w:val="677EE09B"/>
    <w:rsid w:val="678150D0"/>
    <w:rsid w:val="67F31C77"/>
    <w:rsid w:val="680C0563"/>
    <w:rsid w:val="681BBB87"/>
    <w:rsid w:val="68245C30"/>
    <w:rsid w:val="685C90EB"/>
    <w:rsid w:val="68641D88"/>
    <w:rsid w:val="68656446"/>
    <w:rsid w:val="6884912A"/>
    <w:rsid w:val="6895589F"/>
    <w:rsid w:val="68AC310D"/>
    <w:rsid w:val="68BAB4C1"/>
    <w:rsid w:val="68D1077D"/>
    <w:rsid w:val="69136554"/>
    <w:rsid w:val="69295E17"/>
    <w:rsid w:val="695CD283"/>
    <w:rsid w:val="696C23DA"/>
    <w:rsid w:val="69715DCF"/>
    <w:rsid w:val="6979EF11"/>
    <w:rsid w:val="697DFC46"/>
    <w:rsid w:val="698B7E3C"/>
    <w:rsid w:val="698DDC92"/>
    <w:rsid w:val="69A06539"/>
    <w:rsid w:val="69E2FB21"/>
    <w:rsid w:val="69F2CB6B"/>
    <w:rsid w:val="69F8614C"/>
    <w:rsid w:val="69FFEDE9"/>
    <w:rsid w:val="6A02334A"/>
    <w:rsid w:val="6A03CF0F"/>
    <w:rsid w:val="6A0CF5C3"/>
    <w:rsid w:val="6A35575D"/>
    <w:rsid w:val="6A51C22B"/>
    <w:rsid w:val="6A56D546"/>
    <w:rsid w:val="6A5D5D5A"/>
    <w:rsid w:val="6A5EBB16"/>
    <w:rsid w:val="6A664F04"/>
    <w:rsid w:val="6A8C158B"/>
    <w:rsid w:val="6A9E5419"/>
    <w:rsid w:val="6AAD91D7"/>
    <w:rsid w:val="6AF0E683"/>
    <w:rsid w:val="6B19CCA7"/>
    <w:rsid w:val="6B55DDEF"/>
    <w:rsid w:val="6B5F2314"/>
    <w:rsid w:val="6B730F71"/>
    <w:rsid w:val="6B7DA2F0"/>
    <w:rsid w:val="6B8FF418"/>
    <w:rsid w:val="6B9F45C9"/>
    <w:rsid w:val="6BAF09EB"/>
    <w:rsid w:val="6BCAD95F"/>
    <w:rsid w:val="6BEB66C4"/>
    <w:rsid w:val="6BFF00F9"/>
    <w:rsid w:val="6C10C8D6"/>
    <w:rsid w:val="6C27E5EC"/>
    <w:rsid w:val="6C4E1074"/>
    <w:rsid w:val="6C5206FB"/>
    <w:rsid w:val="6C6F1B5B"/>
    <w:rsid w:val="6C74123A"/>
    <w:rsid w:val="6C76C4FF"/>
    <w:rsid w:val="6CB59D08"/>
    <w:rsid w:val="6CB8E33A"/>
    <w:rsid w:val="6CD9E4B1"/>
    <w:rsid w:val="6CEC20C4"/>
    <w:rsid w:val="6CF960AA"/>
    <w:rsid w:val="6D11DB32"/>
    <w:rsid w:val="6D293020"/>
    <w:rsid w:val="6D378EAB"/>
    <w:rsid w:val="6D384A7D"/>
    <w:rsid w:val="6D56261C"/>
    <w:rsid w:val="6D5B8AF6"/>
    <w:rsid w:val="6D8106A5"/>
    <w:rsid w:val="6D9942E8"/>
    <w:rsid w:val="6D9DDD21"/>
    <w:rsid w:val="6DCACAA6"/>
    <w:rsid w:val="6DDD942B"/>
    <w:rsid w:val="6DE1FB20"/>
    <w:rsid w:val="6DFBDD30"/>
    <w:rsid w:val="6E0AC457"/>
    <w:rsid w:val="6E0D37F0"/>
    <w:rsid w:val="6E39F803"/>
    <w:rsid w:val="6E44F738"/>
    <w:rsid w:val="6E5B1323"/>
    <w:rsid w:val="6E96721A"/>
    <w:rsid w:val="6EC1B3FB"/>
    <w:rsid w:val="6EDCE5AC"/>
    <w:rsid w:val="6EEAD791"/>
    <w:rsid w:val="6F024A34"/>
    <w:rsid w:val="6F1DB504"/>
    <w:rsid w:val="6F30A45F"/>
    <w:rsid w:val="6F606910"/>
    <w:rsid w:val="6F677434"/>
    <w:rsid w:val="6F6B68E4"/>
    <w:rsid w:val="6F9271BA"/>
    <w:rsid w:val="6FA694B8"/>
    <w:rsid w:val="6FB092D3"/>
    <w:rsid w:val="6FBF5FC6"/>
    <w:rsid w:val="6FC34080"/>
    <w:rsid w:val="6FF083FC"/>
    <w:rsid w:val="6FF6E384"/>
    <w:rsid w:val="6FFD3AAE"/>
    <w:rsid w:val="7004FCD3"/>
    <w:rsid w:val="702A88FD"/>
    <w:rsid w:val="70319BDB"/>
    <w:rsid w:val="7053B9DB"/>
    <w:rsid w:val="70660FDD"/>
    <w:rsid w:val="707A0DFC"/>
    <w:rsid w:val="7090CB96"/>
    <w:rsid w:val="70AE1D15"/>
    <w:rsid w:val="70C24929"/>
    <w:rsid w:val="70DB958E"/>
    <w:rsid w:val="70E439F9"/>
    <w:rsid w:val="70E61D45"/>
    <w:rsid w:val="70EC87DA"/>
    <w:rsid w:val="710BAA71"/>
    <w:rsid w:val="7113B6AA"/>
    <w:rsid w:val="71171D3F"/>
    <w:rsid w:val="7125781E"/>
    <w:rsid w:val="712B034B"/>
    <w:rsid w:val="7132E3C2"/>
    <w:rsid w:val="71428C7E"/>
    <w:rsid w:val="718C3275"/>
    <w:rsid w:val="718C545D"/>
    <w:rsid w:val="7198272B"/>
    <w:rsid w:val="719CBC87"/>
    <w:rsid w:val="71A2A7C2"/>
    <w:rsid w:val="71A72E79"/>
    <w:rsid w:val="71BC7453"/>
    <w:rsid w:val="71BDE77D"/>
    <w:rsid w:val="71E64529"/>
    <w:rsid w:val="71ED693F"/>
    <w:rsid w:val="71FA8C7B"/>
    <w:rsid w:val="723C3AE5"/>
    <w:rsid w:val="724C26EB"/>
    <w:rsid w:val="72553071"/>
    <w:rsid w:val="725555C6"/>
    <w:rsid w:val="727AEC51"/>
    <w:rsid w:val="72A4D1F9"/>
    <w:rsid w:val="72A66130"/>
    <w:rsid w:val="72BEADD5"/>
    <w:rsid w:val="72C5B67D"/>
    <w:rsid w:val="72DE5CDF"/>
    <w:rsid w:val="73014D6C"/>
    <w:rsid w:val="7312AD39"/>
    <w:rsid w:val="73177A4D"/>
    <w:rsid w:val="73239140"/>
    <w:rsid w:val="732824BE"/>
    <w:rsid w:val="73299F86"/>
    <w:rsid w:val="732A4478"/>
    <w:rsid w:val="7331B490"/>
    <w:rsid w:val="733C0295"/>
    <w:rsid w:val="735123DE"/>
    <w:rsid w:val="735AA0A4"/>
    <w:rsid w:val="735FFFCF"/>
    <w:rsid w:val="7362DFE6"/>
    <w:rsid w:val="738B7FAE"/>
    <w:rsid w:val="73A7F1D7"/>
    <w:rsid w:val="7437B911"/>
    <w:rsid w:val="743C65B9"/>
    <w:rsid w:val="747A2D40"/>
    <w:rsid w:val="74884014"/>
    <w:rsid w:val="749B0A9B"/>
    <w:rsid w:val="74B8EFDB"/>
    <w:rsid w:val="74C1DAA2"/>
    <w:rsid w:val="74F3D7AD"/>
    <w:rsid w:val="751A301A"/>
    <w:rsid w:val="756EB10F"/>
    <w:rsid w:val="758CF688"/>
    <w:rsid w:val="75B76943"/>
    <w:rsid w:val="75D9C6DD"/>
    <w:rsid w:val="75E030B6"/>
    <w:rsid w:val="75ECDD2A"/>
    <w:rsid w:val="75F91E15"/>
    <w:rsid w:val="76050968"/>
    <w:rsid w:val="762B1788"/>
    <w:rsid w:val="762FD481"/>
    <w:rsid w:val="7635EA46"/>
    <w:rsid w:val="76400F78"/>
    <w:rsid w:val="76529266"/>
    <w:rsid w:val="767B9AE2"/>
    <w:rsid w:val="76907139"/>
    <w:rsid w:val="76A69241"/>
    <w:rsid w:val="76AF165B"/>
    <w:rsid w:val="76D01266"/>
    <w:rsid w:val="76E8834C"/>
    <w:rsid w:val="76F070F9"/>
    <w:rsid w:val="76F73CB3"/>
    <w:rsid w:val="76FEB449"/>
    <w:rsid w:val="770EAB8C"/>
    <w:rsid w:val="771370E9"/>
    <w:rsid w:val="771B2308"/>
    <w:rsid w:val="774BD93A"/>
    <w:rsid w:val="77607A61"/>
    <w:rsid w:val="77728619"/>
    <w:rsid w:val="77893BA7"/>
    <w:rsid w:val="779FFCF9"/>
    <w:rsid w:val="77B473E3"/>
    <w:rsid w:val="77EF271E"/>
    <w:rsid w:val="78178EFA"/>
    <w:rsid w:val="785170A9"/>
    <w:rsid w:val="785627C6"/>
    <w:rsid w:val="78671D60"/>
    <w:rsid w:val="786ECA2B"/>
    <w:rsid w:val="78748DD2"/>
    <w:rsid w:val="78BB15C0"/>
    <w:rsid w:val="78BD3B82"/>
    <w:rsid w:val="78C7B546"/>
    <w:rsid w:val="78D35864"/>
    <w:rsid w:val="78E22B64"/>
    <w:rsid w:val="78E342D5"/>
    <w:rsid w:val="79008675"/>
    <w:rsid w:val="792A841E"/>
    <w:rsid w:val="79338626"/>
    <w:rsid w:val="794040E0"/>
    <w:rsid w:val="7949F9F4"/>
    <w:rsid w:val="795D24F9"/>
    <w:rsid w:val="79837196"/>
    <w:rsid w:val="79842E2E"/>
    <w:rsid w:val="798DF359"/>
    <w:rsid w:val="79C7D98A"/>
    <w:rsid w:val="79EB72BA"/>
    <w:rsid w:val="79F1CBD1"/>
    <w:rsid w:val="7A10DCBB"/>
    <w:rsid w:val="7A300038"/>
    <w:rsid w:val="7A373241"/>
    <w:rsid w:val="7A62C774"/>
    <w:rsid w:val="7A6D1092"/>
    <w:rsid w:val="7A7A3297"/>
    <w:rsid w:val="7A8F2B95"/>
    <w:rsid w:val="7AC3FA7A"/>
    <w:rsid w:val="7AC92561"/>
    <w:rsid w:val="7AE5CA55"/>
    <w:rsid w:val="7B0CACDB"/>
    <w:rsid w:val="7B1FFE8F"/>
    <w:rsid w:val="7B5D7C92"/>
    <w:rsid w:val="7B6CE60C"/>
    <w:rsid w:val="7BA2A9D3"/>
    <w:rsid w:val="7BAB8E9E"/>
    <w:rsid w:val="7BBD1896"/>
    <w:rsid w:val="7BBDADC8"/>
    <w:rsid w:val="7BC30F6F"/>
    <w:rsid w:val="7BDBEE93"/>
    <w:rsid w:val="7BE2F190"/>
    <w:rsid w:val="7BE3541C"/>
    <w:rsid w:val="7BF1C907"/>
    <w:rsid w:val="7BF24B2D"/>
    <w:rsid w:val="7C05326A"/>
    <w:rsid w:val="7C066221"/>
    <w:rsid w:val="7C33B672"/>
    <w:rsid w:val="7C51A13F"/>
    <w:rsid w:val="7C893CEA"/>
    <w:rsid w:val="7C8BEA4A"/>
    <w:rsid w:val="7C94C5BB"/>
    <w:rsid w:val="7CA283B5"/>
    <w:rsid w:val="7CBBCEF0"/>
    <w:rsid w:val="7CD9FCB4"/>
    <w:rsid w:val="7CE478F5"/>
    <w:rsid w:val="7CF94CF3"/>
    <w:rsid w:val="7D0A6684"/>
    <w:rsid w:val="7D0F7525"/>
    <w:rsid w:val="7D31CCA9"/>
    <w:rsid w:val="7D617D02"/>
    <w:rsid w:val="7D69F38C"/>
    <w:rsid w:val="7D7DE2B8"/>
    <w:rsid w:val="7D99BCF1"/>
    <w:rsid w:val="7DAC52F7"/>
    <w:rsid w:val="7DD9B174"/>
    <w:rsid w:val="7DE1C79D"/>
    <w:rsid w:val="7DE365CC"/>
    <w:rsid w:val="7E107F71"/>
    <w:rsid w:val="7E4CDCBB"/>
    <w:rsid w:val="7E507C4D"/>
    <w:rsid w:val="7E6AB57D"/>
    <w:rsid w:val="7E7505F0"/>
    <w:rsid w:val="7E7A56CB"/>
    <w:rsid w:val="7E8D9517"/>
    <w:rsid w:val="7E903EE7"/>
    <w:rsid w:val="7EA636E5"/>
    <w:rsid w:val="7EA7D398"/>
    <w:rsid w:val="7EB969F0"/>
    <w:rsid w:val="7EF54E8A"/>
    <w:rsid w:val="7EFC21D3"/>
    <w:rsid w:val="7F0404E5"/>
    <w:rsid w:val="7F46A5BB"/>
    <w:rsid w:val="7F6876CE"/>
    <w:rsid w:val="7F7F3625"/>
    <w:rsid w:val="7FB07F69"/>
    <w:rsid w:val="7FB7AF64"/>
    <w:rsid w:val="7FBC9BED"/>
    <w:rsid w:val="7FDD24F9"/>
    <w:rsid w:val="7FE65DF0"/>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E3F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258"/>
    <w:pPr>
      <w:spacing w:before="240" w:after="240" w:line="300" w:lineRule="auto"/>
    </w:pPr>
    <w:rPr>
      <w:sz w:val="26"/>
    </w:rPr>
  </w:style>
  <w:style w:type="paragraph" w:styleId="Heading1">
    <w:name w:val="heading 1"/>
    <w:basedOn w:val="Normal"/>
    <w:next w:val="Normal"/>
    <w:link w:val="Heading1Char"/>
    <w:uiPriority w:val="9"/>
    <w:qFormat/>
    <w:rsid w:val="00A75245"/>
    <w:pPr>
      <w:keepNext/>
      <w:numPr>
        <w:numId w:val="3"/>
      </w:numPr>
      <w:spacing w:before="520" w:after="120"/>
      <w:ind w:left="431" w:hanging="431"/>
      <w:outlineLvl w:val="0"/>
    </w:pPr>
    <w:rPr>
      <w:rFonts w:asciiTheme="majorHAnsi" w:eastAsiaTheme="majorEastAsia" w:hAnsiTheme="majorHAnsi" w:cstheme="majorBidi"/>
      <w:color w:val="6A0C22"/>
      <w:sz w:val="44"/>
      <w:szCs w:val="44"/>
    </w:rPr>
  </w:style>
  <w:style w:type="paragraph" w:styleId="Heading2">
    <w:name w:val="heading 2"/>
    <w:basedOn w:val="Normal"/>
    <w:next w:val="Normal"/>
    <w:link w:val="Heading2Char"/>
    <w:uiPriority w:val="9"/>
    <w:unhideWhenUsed/>
    <w:qFormat/>
    <w:rsid w:val="001E2F6E"/>
    <w:pPr>
      <w:numPr>
        <w:ilvl w:val="1"/>
        <w:numId w:val="3"/>
      </w:numPr>
      <w:snapToGrid w:val="0"/>
      <w:spacing w:before="360" w:after="0"/>
      <w:ind w:left="720" w:hanging="720"/>
      <w:outlineLvl w:val="1"/>
    </w:pPr>
    <w:rPr>
      <w:rFonts w:cs="Times New Roman (Body CS)"/>
      <w:b/>
      <w:color w:val="316D6E"/>
      <w:sz w:val="32"/>
      <w:szCs w:val="36"/>
    </w:rPr>
  </w:style>
  <w:style w:type="paragraph" w:styleId="Heading3">
    <w:name w:val="heading 3"/>
    <w:basedOn w:val="Normal"/>
    <w:next w:val="Normal"/>
    <w:link w:val="Heading3Char"/>
    <w:uiPriority w:val="9"/>
    <w:unhideWhenUsed/>
    <w:qFormat/>
    <w:rsid w:val="001E2F6E"/>
    <w:pPr>
      <w:keepNext/>
      <w:numPr>
        <w:ilvl w:val="2"/>
        <w:numId w:val="3"/>
      </w:numPr>
      <w:spacing w:after="120"/>
      <w:ind w:left="0" w:firstLine="0"/>
      <w:outlineLvl w:val="2"/>
    </w:pPr>
    <w:rPr>
      <w:rFonts w:eastAsiaTheme="majorEastAsia" w:cstheme="majorBidi"/>
      <w:b/>
      <w:sz w:val="28"/>
      <w:szCs w:val="32"/>
    </w:rPr>
  </w:style>
  <w:style w:type="paragraph" w:styleId="Heading4">
    <w:name w:val="heading 4"/>
    <w:basedOn w:val="Normal"/>
    <w:next w:val="Normal"/>
    <w:link w:val="Heading4Char"/>
    <w:uiPriority w:val="9"/>
    <w:semiHidden/>
    <w:unhideWhenUsed/>
    <w:qFormat/>
    <w:rsid w:val="00962770"/>
    <w:pPr>
      <w:keepNext/>
      <w:keepLines/>
      <w:numPr>
        <w:ilvl w:val="3"/>
        <w:numId w:val="3"/>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62770"/>
    <w:pPr>
      <w:keepNext/>
      <w:keepLines/>
      <w:numPr>
        <w:ilvl w:val="4"/>
        <w:numId w:val="3"/>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62770"/>
    <w:pPr>
      <w:keepNext/>
      <w:keepLines/>
      <w:numPr>
        <w:ilvl w:val="5"/>
        <w:numId w:val="3"/>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62770"/>
    <w:pPr>
      <w:keepNext/>
      <w:keepLines/>
      <w:numPr>
        <w:ilvl w:val="6"/>
        <w:numId w:val="3"/>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62770"/>
    <w:pPr>
      <w:keepNext/>
      <w:keepLines/>
      <w:numPr>
        <w:ilvl w:val="7"/>
        <w:numId w:val="3"/>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62770"/>
    <w:pPr>
      <w:keepNext/>
      <w:keepLines/>
      <w:numPr>
        <w:ilvl w:val="8"/>
        <w:numId w:val="3"/>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sid w:val="00AB2D31"/>
    <w:pPr>
      <w:spacing w:line="240" w:lineRule="auto"/>
      <w:contextualSpacing/>
    </w:pPr>
    <w:rPr>
      <w:rFonts w:eastAsiaTheme="majorEastAsia" w:cstheme="majorBidi"/>
      <w:b/>
      <w:color w:val="6A0C22"/>
      <w:spacing w:val="-10"/>
      <w:kern w:val="28"/>
      <w:sz w:val="72"/>
      <w:szCs w:val="56"/>
    </w:rPr>
  </w:style>
  <w:style w:type="character" w:customStyle="1" w:styleId="TitleChar">
    <w:name w:val="Title Char"/>
    <w:basedOn w:val="DefaultParagraphFont"/>
    <w:link w:val="Title"/>
    <w:rsid w:val="00AB2D31"/>
    <w:rPr>
      <w:rFonts w:eastAsiaTheme="majorEastAsia" w:cstheme="majorBidi"/>
      <w:b/>
      <w:color w:val="6A0C22"/>
      <w:spacing w:val="-10"/>
      <w:kern w:val="28"/>
      <w:sz w:val="72"/>
      <w:szCs w:val="56"/>
    </w:rPr>
  </w:style>
  <w:style w:type="paragraph" w:styleId="ListParagraph">
    <w:name w:val="List Paragraph"/>
    <w:aliases w:val="RFP question,dot point List Paragraph,Normal bullet 2,Newsweek,Use Case List Paragraph,Heading2,List Paragraph1,b1,Bullet for no #'s,first level bullet,List Paragraph11,List Paragraph2,List Paragraph Char Char,lp1,Number_1,new"/>
    <w:basedOn w:val="Normal"/>
    <w:link w:val="ListParagraphChar"/>
    <w:uiPriority w:val="34"/>
    <w:qFormat/>
    <w:rsid w:val="002E1B30"/>
    <w:pPr>
      <w:ind w:left="720"/>
      <w:contextualSpacing/>
    </w:pPr>
  </w:style>
  <w:style w:type="character" w:customStyle="1" w:styleId="Heading1Char">
    <w:name w:val="Heading 1 Char"/>
    <w:basedOn w:val="DefaultParagraphFont"/>
    <w:link w:val="Heading1"/>
    <w:uiPriority w:val="9"/>
    <w:rsid w:val="00A75245"/>
    <w:rPr>
      <w:rFonts w:asciiTheme="majorHAnsi" w:eastAsiaTheme="majorEastAsia" w:hAnsiTheme="majorHAnsi" w:cstheme="majorBidi"/>
      <w:color w:val="6A0C22"/>
      <w:sz w:val="44"/>
      <w:szCs w:val="44"/>
    </w:rPr>
  </w:style>
  <w:style w:type="character" w:customStyle="1" w:styleId="Heading2Char">
    <w:name w:val="Heading 2 Char"/>
    <w:basedOn w:val="DefaultParagraphFont"/>
    <w:link w:val="Heading2"/>
    <w:uiPriority w:val="9"/>
    <w:rsid w:val="001E2F6E"/>
    <w:rPr>
      <w:rFonts w:cs="Times New Roman (Body CS)"/>
      <w:b/>
      <w:color w:val="316D6E"/>
      <w:sz w:val="32"/>
      <w:szCs w:val="36"/>
    </w:rPr>
  </w:style>
  <w:style w:type="character" w:styleId="CommentReference">
    <w:name w:val="annotation reference"/>
    <w:basedOn w:val="DefaultParagraphFont"/>
    <w:uiPriority w:val="99"/>
    <w:semiHidden/>
    <w:unhideWhenUsed/>
    <w:rsid w:val="00E04C87"/>
    <w:rPr>
      <w:sz w:val="16"/>
      <w:szCs w:val="16"/>
    </w:rPr>
  </w:style>
  <w:style w:type="paragraph" w:styleId="CommentText">
    <w:name w:val="annotation text"/>
    <w:basedOn w:val="Normal"/>
    <w:link w:val="CommentTextChar"/>
    <w:uiPriority w:val="99"/>
    <w:unhideWhenUsed/>
    <w:rsid w:val="00E04C87"/>
    <w:rPr>
      <w:sz w:val="20"/>
      <w:szCs w:val="20"/>
    </w:rPr>
  </w:style>
  <w:style w:type="character" w:customStyle="1" w:styleId="CommentTextChar">
    <w:name w:val="Comment Text Char"/>
    <w:basedOn w:val="DefaultParagraphFont"/>
    <w:link w:val="CommentText"/>
    <w:uiPriority w:val="99"/>
    <w:rsid w:val="00E04C87"/>
    <w:rPr>
      <w:rFonts w:ascii="Arial Nova Light" w:hAnsi="Arial Nova Light"/>
      <w:sz w:val="20"/>
      <w:szCs w:val="20"/>
    </w:rPr>
  </w:style>
  <w:style w:type="paragraph" w:styleId="CommentSubject">
    <w:name w:val="annotation subject"/>
    <w:basedOn w:val="CommentText"/>
    <w:next w:val="CommentText"/>
    <w:link w:val="CommentSubjectChar"/>
    <w:uiPriority w:val="99"/>
    <w:semiHidden/>
    <w:unhideWhenUsed/>
    <w:rsid w:val="00E04C87"/>
    <w:rPr>
      <w:b/>
      <w:bCs/>
    </w:rPr>
  </w:style>
  <w:style w:type="character" w:customStyle="1" w:styleId="CommentSubjectChar">
    <w:name w:val="Comment Subject Char"/>
    <w:basedOn w:val="CommentTextChar"/>
    <w:link w:val="CommentSubject"/>
    <w:uiPriority w:val="99"/>
    <w:semiHidden/>
    <w:rsid w:val="00E04C87"/>
    <w:rPr>
      <w:rFonts w:ascii="Arial Nova Light" w:hAnsi="Arial Nova Light"/>
      <w:b/>
      <w:bCs/>
      <w:sz w:val="20"/>
      <w:szCs w:val="20"/>
    </w:rPr>
  </w:style>
  <w:style w:type="character" w:customStyle="1" w:styleId="Heading3Char">
    <w:name w:val="Heading 3 Char"/>
    <w:basedOn w:val="DefaultParagraphFont"/>
    <w:link w:val="Heading3"/>
    <w:uiPriority w:val="9"/>
    <w:rsid w:val="001E2F6E"/>
    <w:rPr>
      <w:rFonts w:eastAsiaTheme="majorEastAsia" w:cstheme="majorBidi"/>
      <w:b/>
      <w:sz w:val="28"/>
      <w:szCs w:val="32"/>
    </w:rPr>
  </w:style>
  <w:style w:type="character" w:customStyle="1" w:styleId="ListParagraphChar">
    <w:name w:val="List Paragraph Char"/>
    <w:aliases w:val="RFP question Char,dot point List Paragraph Char,Normal bullet 2 Char,Newsweek Char,Use Case List Paragraph Char,Heading2 Char,List Paragraph1 Char,b1 Char,Bullet for no #'s Char,first level bullet Char,List Paragraph11 Char,lp1 Char"/>
    <w:basedOn w:val="DefaultParagraphFont"/>
    <w:link w:val="ListParagraph"/>
    <w:uiPriority w:val="34"/>
    <w:qFormat/>
    <w:rsid w:val="00081615"/>
    <w:rPr>
      <w:rFonts w:ascii="Arial Nova Light" w:hAnsi="Arial Nova Light"/>
    </w:rPr>
  </w:style>
  <w:style w:type="paragraph" w:customStyle="1" w:styleId="Default">
    <w:name w:val="Default"/>
    <w:rsid w:val="009F7BE0"/>
    <w:pPr>
      <w:autoSpaceDE w:val="0"/>
      <w:autoSpaceDN w:val="0"/>
      <w:adjustRightInd w:val="0"/>
    </w:pPr>
    <w:rPr>
      <w:rFonts w:ascii="Franklin Gothic Book" w:hAnsi="Franklin Gothic Book" w:cs="Franklin Gothic Book"/>
      <w:color w:val="000000"/>
    </w:rPr>
  </w:style>
  <w:style w:type="table" w:styleId="GridTable2-Accent3">
    <w:name w:val="Grid Table 2 Accent 3"/>
    <w:basedOn w:val="TableNormal"/>
    <w:uiPriority w:val="47"/>
    <w:rsid w:val="005D6D32"/>
    <w:rPr>
      <w:sz w:val="22"/>
      <w:szCs w:val="22"/>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Hyperlink">
    <w:name w:val="Hyperlink"/>
    <w:basedOn w:val="DefaultParagraphFont"/>
    <w:uiPriority w:val="99"/>
    <w:unhideWhenUsed/>
    <w:rsid w:val="009968B8"/>
    <w:rPr>
      <w:color w:val="6A0C22"/>
      <w:u w:val="single"/>
    </w:rPr>
  </w:style>
  <w:style w:type="character" w:styleId="UnresolvedMention">
    <w:name w:val="Unresolved Mention"/>
    <w:basedOn w:val="DefaultParagraphFont"/>
    <w:uiPriority w:val="99"/>
    <w:semiHidden/>
    <w:unhideWhenUsed/>
    <w:rsid w:val="00401852"/>
    <w:rPr>
      <w:color w:val="605E5C"/>
      <w:shd w:val="clear" w:color="auto" w:fill="E1DFDD"/>
    </w:rPr>
  </w:style>
  <w:style w:type="paragraph" w:styleId="Revision">
    <w:name w:val="Revision"/>
    <w:hidden/>
    <w:uiPriority w:val="99"/>
    <w:semiHidden/>
    <w:rsid w:val="00DB21DB"/>
    <w:rPr>
      <w:rFonts w:ascii="Arial Nova Light" w:hAnsi="Arial Nova Light"/>
    </w:rPr>
  </w:style>
  <w:style w:type="paragraph" w:styleId="BalloonText">
    <w:name w:val="Balloon Text"/>
    <w:basedOn w:val="Normal"/>
    <w:link w:val="BalloonTextChar"/>
    <w:uiPriority w:val="99"/>
    <w:semiHidden/>
    <w:unhideWhenUsed/>
    <w:rsid w:val="007C30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3038"/>
    <w:rPr>
      <w:rFonts w:ascii="Segoe UI" w:hAnsi="Segoe UI" w:cs="Segoe UI"/>
      <w:sz w:val="18"/>
      <w:szCs w:val="18"/>
    </w:rPr>
  </w:style>
  <w:style w:type="table" w:styleId="TableGrid">
    <w:name w:val="Table Grid"/>
    <w:basedOn w:val="TableNormal"/>
    <w:uiPriority w:val="3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 w:type="character" w:styleId="Mention">
    <w:name w:val="Mention"/>
    <w:basedOn w:val="DefaultParagraphFont"/>
    <w:uiPriority w:val="99"/>
    <w:unhideWhenUsed/>
    <w:rPr>
      <w:color w:val="2B579A"/>
      <w:shd w:val="clear" w:color="auto" w:fill="E6E6E6"/>
    </w:rPr>
  </w:style>
  <w:style w:type="paragraph" w:styleId="TOCHeading">
    <w:name w:val="TOC Heading"/>
    <w:basedOn w:val="Heading1"/>
    <w:next w:val="Normal"/>
    <w:uiPriority w:val="39"/>
    <w:unhideWhenUsed/>
    <w:qFormat/>
    <w:rsid w:val="003518B7"/>
    <w:pPr>
      <w:numPr>
        <w:numId w:val="0"/>
      </w:numPr>
      <w:spacing w:line="259" w:lineRule="auto"/>
      <w:outlineLvl w:val="9"/>
    </w:pPr>
    <w:rPr>
      <w:szCs w:val="32"/>
    </w:rPr>
  </w:style>
  <w:style w:type="paragraph" w:styleId="TOC1">
    <w:name w:val="toc 1"/>
    <w:basedOn w:val="Normal"/>
    <w:next w:val="Normal"/>
    <w:autoRedefine/>
    <w:uiPriority w:val="39"/>
    <w:unhideWhenUsed/>
    <w:rsid w:val="008C7863"/>
    <w:pPr>
      <w:tabs>
        <w:tab w:val="left" w:pos="480"/>
        <w:tab w:val="right" w:leader="dot" w:pos="9350"/>
      </w:tabs>
      <w:spacing w:before="0" w:after="0"/>
    </w:pPr>
    <w:rPr>
      <w:b/>
      <w:iCs/>
      <w:noProof/>
      <w:color w:val="6A0C22"/>
      <w:sz w:val="24"/>
      <w:lang w:val="fr-CA"/>
    </w:rPr>
  </w:style>
  <w:style w:type="paragraph" w:styleId="TOC2">
    <w:name w:val="toc 2"/>
    <w:basedOn w:val="Normal"/>
    <w:next w:val="Normal"/>
    <w:autoRedefine/>
    <w:uiPriority w:val="39"/>
    <w:unhideWhenUsed/>
    <w:rsid w:val="008C7863"/>
    <w:pPr>
      <w:tabs>
        <w:tab w:val="left" w:pos="880"/>
        <w:tab w:val="right" w:leader="dot" w:pos="9350"/>
      </w:tabs>
      <w:spacing w:before="0" w:after="0"/>
      <w:ind w:left="504"/>
      <w:jc w:val="center"/>
    </w:pPr>
    <w:rPr>
      <w:b/>
      <w:noProof/>
      <w:sz w:val="24"/>
      <w:lang w:val="fr-CA"/>
    </w:rPr>
  </w:style>
  <w:style w:type="paragraph" w:styleId="TOC3">
    <w:name w:val="toc 3"/>
    <w:basedOn w:val="Normal"/>
    <w:next w:val="Normal"/>
    <w:autoRedefine/>
    <w:uiPriority w:val="39"/>
    <w:unhideWhenUsed/>
    <w:rsid w:val="003F306C"/>
    <w:pPr>
      <w:tabs>
        <w:tab w:val="right" w:leader="dot" w:pos="9350"/>
      </w:tabs>
      <w:spacing w:before="0" w:after="0"/>
      <w:ind w:left="893"/>
    </w:pPr>
    <w:rPr>
      <w:noProof/>
      <w:sz w:val="24"/>
      <w:lang w:val="fr-CA"/>
    </w:rPr>
  </w:style>
  <w:style w:type="character" w:customStyle="1" w:styleId="Heading4Char">
    <w:name w:val="Heading 4 Char"/>
    <w:basedOn w:val="DefaultParagraphFont"/>
    <w:link w:val="Heading4"/>
    <w:uiPriority w:val="9"/>
    <w:semiHidden/>
    <w:rsid w:val="00962770"/>
    <w:rPr>
      <w:rFonts w:asciiTheme="majorHAnsi" w:eastAsiaTheme="majorEastAsia" w:hAnsiTheme="majorHAnsi" w:cstheme="majorBidi"/>
      <w:i/>
      <w:iCs/>
      <w:color w:val="2F5496" w:themeColor="accent1" w:themeShade="BF"/>
      <w:sz w:val="26"/>
    </w:rPr>
  </w:style>
  <w:style w:type="character" w:customStyle="1" w:styleId="Heading5Char">
    <w:name w:val="Heading 5 Char"/>
    <w:basedOn w:val="DefaultParagraphFont"/>
    <w:link w:val="Heading5"/>
    <w:uiPriority w:val="9"/>
    <w:semiHidden/>
    <w:rsid w:val="00962770"/>
    <w:rPr>
      <w:rFonts w:asciiTheme="majorHAnsi" w:eastAsiaTheme="majorEastAsia" w:hAnsiTheme="majorHAnsi" w:cstheme="majorBidi"/>
      <w:color w:val="2F5496" w:themeColor="accent1" w:themeShade="BF"/>
      <w:sz w:val="26"/>
    </w:rPr>
  </w:style>
  <w:style w:type="character" w:customStyle="1" w:styleId="Heading6Char">
    <w:name w:val="Heading 6 Char"/>
    <w:basedOn w:val="DefaultParagraphFont"/>
    <w:link w:val="Heading6"/>
    <w:uiPriority w:val="9"/>
    <w:semiHidden/>
    <w:rsid w:val="00962770"/>
    <w:rPr>
      <w:rFonts w:asciiTheme="majorHAnsi" w:eastAsiaTheme="majorEastAsia" w:hAnsiTheme="majorHAnsi" w:cstheme="majorBidi"/>
      <w:color w:val="1F3763" w:themeColor="accent1" w:themeShade="7F"/>
      <w:sz w:val="26"/>
    </w:rPr>
  </w:style>
  <w:style w:type="character" w:customStyle="1" w:styleId="Heading7Char">
    <w:name w:val="Heading 7 Char"/>
    <w:basedOn w:val="DefaultParagraphFont"/>
    <w:link w:val="Heading7"/>
    <w:uiPriority w:val="9"/>
    <w:semiHidden/>
    <w:rsid w:val="00962770"/>
    <w:rPr>
      <w:rFonts w:asciiTheme="majorHAnsi" w:eastAsiaTheme="majorEastAsia" w:hAnsiTheme="majorHAnsi" w:cstheme="majorBidi"/>
      <w:i/>
      <w:iCs/>
      <w:color w:val="1F3763" w:themeColor="accent1" w:themeShade="7F"/>
      <w:sz w:val="26"/>
    </w:rPr>
  </w:style>
  <w:style w:type="character" w:customStyle="1" w:styleId="Heading8Char">
    <w:name w:val="Heading 8 Char"/>
    <w:basedOn w:val="DefaultParagraphFont"/>
    <w:link w:val="Heading8"/>
    <w:uiPriority w:val="9"/>
    <w:semiHidden/>
    <w:rsid w:val="00962770"/>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62770"/>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951A4C"/>
    <w:rPr>
      <w:color w:val="954F72" w:themeColor="followedHyperlink"/>
      <w:u w:val="single"/>
    </w:rPr>
  </w:style>
  <w:style w:type="paragraph" w:customStyle="1" w:styleId="Bodybullets">
    <w:name w:val="Body bullets"/>
    <w:basedOn w:val="ListParagraph"/>
    <w:qFormat/>
    <w:rsid w:val="00EF5D41"/>
    <w:pPr>
      <w:numPr>
        <w:numId w:val="5"/>
      </w:numPr>
      <w:spacing w:before="120"/>
      <w:ind w:left="1077" w:hanging="357"/>
      <w:contextualSpacing w:val="0"/>
    </w:pPr>
  </w:style>
  <w:style w:type="numbering" w:customStyle="1" w:styleId="CurrentList1">
    <w:name w:val="Current List1"/>
    <w:uiPriority w:val="99"/>
    <w:rsid w:val="00FE74DE"/>
    <w:pPr>
      <w:numPr>
        <w:numId w:val="4"/>
      </w:numPr>
    </w:pPr>
  </w:style>
  <w:style w:type="paragraph" w:customStyle="1" w:styleId="Bodynumberedlist">
    <w:name w:val="Body numbered list"/>
    <w:basedOn w:val="ListParagraph"/>
    <w:qFormat/>
    <w:rsid w:val="006D6C65"/>
    <w:pPr>
      <w:numPr>
        <w:numId w:val="8"/>
      </w:numPr>
      <w:spacing w:before="120"/>
      <w:contextualSpacing w:val="0"/>
    </w:pPr>
  </w:style>
  <w:style w:type="numbering" w:customStyle="1" w:styleId="CurrentList2">
    <w:name w:val="Current List2"/>
    <w:uiPriority w:val="99"/>
    <w:rsid w:val="006870ED"/>
    <w:pPr>
      <w:numPr>
        <w:numId w:val="6"/>
      </w:numPr>
    </w:pPr>
  </w:style>
  <w:style w:type="numbering" w:customStyle="1" w:styleId="CurrentList3">
    <w:name w:val="Current List3"/>
    <w:uiPriority w:val="99"/>
    <w:rsid w:val="00036EDD"/>
    <w:pPr>
      <w:numPr>
        <w:numId w:val="7"/>
      </w:numPr>
    </w:pPr>
  </w:style>
  <w:style w:type="numbering" w:customStyle="1" w:styleId="CurrentList4">
    <w:name w:val="Current List4"/>
    <w:uiPriority w:val="99"/>
    <w:rsid w:val="00DB40D0"/>
    <w:pPr>
      <w:numPr>
        <w:numId w:val="9"/>
      </w:numPr>
    </w:pPr>
  </w:style>
  <w:style w:type="numbering" w:customStyle="1" w:styleId="CurrentList5">
    <w:name w:val="Current List5"/>
    <w:uiPriority w:val="99"/>
    <w:rsid w:val="006D6C65"/>
    <w:pPr>
      <w:numPr>
        <w:numId w:val="10"/>
      </w:numPr>
    </w:pPr>
  </w:style>
  <w:style w:type="character" w:styleId="Emphasis">
    <w:name w:val="Emphasis"/>
    <w:basedOn w:val="DefaultParagraphFont"/>
    <w:uiPriority w:val="20"/>
    <w:qFormat/>
    <w:rsid w:val="0007218B"/>
    <w:rPr>
      <w:i/>
      <w:iCs/>
    </w:rPr>
  </w:style>
  <w:style w:type="character" w:styleId="Strong">
    <w:name w:val="Strong"/>
    <w:basedOn w:val="DefaultParagraphFont"/>
    <w:uiPriority w:val="22"/>
    <w:qFormat/>
    <w:rsid w:val="00F3111E"/>
    <w:rPr>
      <w:b/>
      <w:bCs/>
    </w:rPr>
  </w:style>
  <w:style w:type="character" w:customStyle="1" w:styleId="ui-provider">
    <w:name w:val="ui-provider"/>
    <w:basedOn w:val="DefaultParagraphFont"/>
    <w:rsid w:val="00E50629"/>
  </w:style>
  <w:style w:type="paragraph" w:customStyle="1" w:styleId="paragraph">
    <w:name w:val="paragraph"/>
    <w:basedOn w:val="Normal"/>
    <w:rsid w:val="00BD7133"/>
    <w:pPr>
      <w:spacing w:before="100" w:beforeAutospacing="1" w:after="100" w:afterAutospacing="1" w:line="240" w:lineRule="auto"/>
    </w:pPr>
    <w:rPr>
      <w:rFonts w:ascii="Times New Roman" w:eastAsia="Times New Roman" w:hAnsi="Times New Roman" w:cs="Times New Roman"/>
      <w:sz w:val="24"/>
      <w:lang w:eastAsia="en-CA"/>
    </w:rPr>
  </w:style>
  <w:style w:type="character" w:customStyle="1" w:styleId="normaltextrun">
    <w:name w:val="normaltextrun"/>
    <w:basedOn w:val="DefaultParagraphFont"/>
    <w:rsid w:val="00BD7133"/>
  </w:style>
  <w:style w:type="character" w:customStyle="1" w:styleId="eop">
    <w:name w:val="eop"/>
    <w:basedOn w:val="DefaultParagraphFont"/>
    <w:rsid w:val="00BD7133"/>
  </w:style>
  <w:style w:type="paragraph" w:styleId="NormalWeb">
    <w:name w:val="Normal (Web)"/>
    <w:basedOn w:val="Normal"/>
    <w:uiPriority w:val="99"/>
    <w:semiHidden/>
    <w:unhideWhenUsed/>
    <w:rsid w:val="001977D0"/>
    <w:pPr>
      <w:spacing w:before="100" w:beforeAutospacing="1" w:after="100" w:afterAutospacing="1" w:line="240" w:lineRule="auto"/>
    </w:pPr>
    <w:rPr>
      <w:rFonts w:ascii="Times New Roman" w:eastAsia="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17572">
      <w:bodyDiv w:val="1"/>
      <w:marLeft w:val="0"/>
      <w:marRight w:val="0"/>
      <w:marTop w:val="0"/>
      <w:marBottom w:val="0"/>
      <w:divBdr>
        <w:top w:val="none" w:sz="0" w:space="0" w:color="auto"/>
        <w:left w:val="none" w:sz="0" w:space="0" w:color="auto"/>
        <w:bottom w:val="none" w:sz="0" w:space="0" w:color="auto"/>
        <w:right w:val="none" w:sz="0" w:space="0" w:color="auto"/>
      </w:divBdr>
    </w:div>
    <w:div w:id="34352877">
      <w:bodyDiv w:val="1"/>
      <w:marLeft w:val="0"/>
      <w:marRight w:val="0"/>
      <w:marTop w:val="0"/>
      <w:marBottom w:val="0"/>
      <w:divBdr>
        <w:top w:val="none" w:sz="0" w:space="0" w:color="auto"/>
        <w:left w:val="none" w:sz="0" w:space="0" w:color="auto"/>
        <w:bottom w:val="none" w:sz="0" w:space="0" w:color="auto"/>
        <w:right w:val="none" w:sz="0" w:space="0" w:color="auto"/>
      </w:divBdr>
    </w:div>
    <w:div w:id="119034672">
      <w:bodyDiv w:val="1"/>
      <w:marLeft w:val="0"/>
      <w:marRight w:val="0"/>
      <w:marTop w:val="0"/>
      <w:marBottom w:val="0"/>
      <w:divBdr>
        <w:top w:val="none" w:sz="0" w:space="0" w:color="auto"/>
        <w:left w:val="none" w:sz="0" w:space="0" w:color="auto"/>
        <w:bottom w:val="none" w:sz="0" w:space="0" w:color="auto"/>
        <w:right w:val="none" w:sz="0" w:space="0" w:color="auto"/>
      </w:divBdr>
    </w:div>
    <w:div w:id="223956073">
      <w:bodyDiv w:val="1"/>
      <w:marLeft w:val="0"/>
      <w:marRight w:val="0"/>
      <w:marTop w:val="0"/>
      <w:marBottom w:val="0"/>
      <w:divBdr>
        <w:top w:val="none" w:sz="0" w:space="0" w:color="auto"/>
        <w:left w:val="none" w:sz="0" w:space="0" w:color="auto"/>
        <w:bottom w:val="none" w:sz="0" w:space="0" w:color="auto"/>
        <w:right w:val="none" w:sz="0" w:space="0" w:color="auto"/>
      </w:divBdr>
    </w:div>
    <w:div w:id="341472339">
      <w:bodyDiv w:val="1"/>
      <w:marLeft w:val="0"/>
      <w:marRight w:val="0"/>
      <w:marTop w:val="0"/>
      <w:marBottom w:val="0"/>
      <w:divBdr>
        <w:top w:val="none" w:sz="0" w:space="0" w:color="auto"/>
        <w:left w:val="none" w:sz="0" w:space="0" w:color="auto"/>
        <w:bottom w:val="none" w:sz="0" w:space="0" w:color="auto"/>
        <w:right w:val="none" w:sz="0" w:space="0" w:color="auto"/>
      </w:divBdr>
    </w:div>
    <w:div w:id="353192532">
      <w:bodyDiv w:val="1"/>
      <w:marLeft w:val="0"/>
      <w:marRight w:val="0"/>
      <w:marTop w:val="0"/>
      <w:marBottom w:val="0"/>
      <w:divBdr>
        <w:top w:val="none" w:sz="0" w:space="0" w:color="auto"/>
        <w:left w:val="none" w:sz="0" w:space="0" w:color="auto"/>
        <w:bottom w:val="none" w:sz="0" w:space="0" w:color="auto"/>
        <w:right w:val="none" w:sz="0" w:space="0" w:color="auto"/>
      </w:divBdr>
    </w:div>
    <w:div w:id="426075057">
      <w:bodyDiv w:val="1"/>
      <w:marLeft w:val="0"/>
      <w:marRight w:val="0"/>
      <w:marTop w:val="0"/>
      <w:marBottom w:val="0"/>
      <w:divBdr>
        <w:top w:val="none" w:sz="0" w:space="0" w:color="auto"/>
        <w:left w:val="none" w:sz="0" w:space="0" w:color="auto"/>
        <w:bottom w:val="none" w:sz="0" w:space="0" w:color="auto"/>
        <w:right w:val="none" w:sz="0" w:space="0" w:color="auto"/>
      </w:divBdr>
    </w:div>
    <w:div w:id="460879770">
      <w:bodyDiv w:val="1"/>
      <w:marLeft w:val="0"/>
      <w:marRight w:val="0"/>
      <w:marTop w:val="0"/>
      <w:marBottom w:val="0"/>
      <w:divBdr>
        <w:top w:val="none" w:sz="0" w:space="0" w:color="auto"/>
        <w:left w:val="none" w:sz="0" w:space="0" w:color="auto"/>
        <w:bottom w:val="none" w:sz="0" w:space="0" w:color="auto"/>
        <w:right w:val="none" w:sz="0" w:space="0" w:color="auto"/>
      </w:divBdr>
    </w:div>
    <w:div w:id="559756754">
      <w:bodyDiv w:val="1"/>
      <w:marLeft w:val="0"/>
      <w:marRight w:val="0"/>
      <w:marTop w:val="0"/>
      <w:marBottom w:val="0"/>
      <w:divBdr>
        <w:top w:val="none" w:sz="0" w:space="0" w:color="auto"/>
        <w:left w:val="none" w:sz="0" w:space="0" w:color="auto"/>
        <w:bottom w:val="none" w:sz="0" w:space="0" w:color="auto"/>
        <w:right w:val="none" w:sz="0" w:space="0" w:color="auto"/>
      </w:divBdr>
    </w:div>
    <w:div w:id="598105292">
      <w:bodyDiv w:val="1"/>
      <w:marLeft w:val="0"/>
      <w:marRight w:val="0"/>
      <w:marTop w:val="0"/>
      <w:marBottom w:val="0"/>
      <w:divBdr>
        <w:top w:val="none" w:sz="0" w:space="0" w:color="auto"/>
        <w:left w:val="none" w:sz="0" w:space="0" w:color="auto"/>
        <w:bottom w:val="none" w:sz="0" w:space="0" w:color="auto"/>
        <w:right w:val="none" w:sz="0" w:space="0" w:color="auto"/>
      </w:divBdr>
    </w:div>
    <w:div w:id="701901218">
      <w:bodyDiv w:val="1"/>
      <w:marLeft w:val="0"/>
      <w:marRight w:val="0"/>
      <w:marTop w:val="0"/>
      <w:marBottom w:val="0"/>
      <w:divBdr>
        <w:top w:val="none" w:sz="0" w:space="0" w:color="auto"/>
        <w:left w:val="none" w:sz="0" w:space="0" w:color="auto"/>
        <w:bottom w:val="none" w:sz="0" w:space="0" w:color="auto"/>
        <w:right w:val="none" w:sz="0" w:space="0" w:color="auto"/>
      </w:divBdr>
    </w:div>
    <w:div w:id="708262441">
      <w:bodyDiv w:val="1"/>
      <w:marLeft w:val="0"/>
      <w:marRight w:val="0"/>
      <w:marTop w:val="0"/>
      <w:marBottom w:val="0"/>
      <w:divBdr>
        <w:top w:val="none" w:sz="0" w:space="0" w:color="auto"/>
        <w:left w:val="none" w:sz="0" w:space="0" w:color="auto"/>
        <w:bottom w:val="none" w:sz="0" w:space="0" w:color="auto"/>
        <w:right w:val="none" w:sz="0" w:space="0" w:color="auto"/>
      </w:divBdr>
    </w:div>
    <w:div w:id="715743452">
      <w:bodyDiv w:val="1"/>
      <w:marLeft w:val="0"/>
      <w:marRight w:val="0"/>
      <w:marTop w:val="0"/>
      <w:marBottom w:val="0"/>
      <w:divBdr>
        <w:top w:val="none" w:sz="0" w:space="0" w:color="auto"/>
        <w:left w:val="none" w:sz="0" w:space="0" w:color="auto"/>
        <w:bottom w:val="none" w:sz="0" w:space="0" w:color="auto"/>
        <w:right w:val="none" w:sz="0" w:space="0" w:color="auto"/>
      </w:divBdr>
    </w:div>
    <w:div w:id="736513916">
      <w:bodyDiv w:val="1"/>
      <w:marLeft w:val="0"/>
      <w:marRight w:val="0"/>
      <w:marTop w:val="0"/>
      <w:marBottom w:val="0"/>
      <w:divBdr>
        <w:top w:val="none" w:sz="0" w:space="0" w:color="auto"/>
        <w:left w:val="none" w:sz="0" w:space="0" w:color="auto"/>
        <w:bottom w:val="none" w:sz="0" w:space="0" w:color="auto"/>
        <w:right w:val="none" w:sz="0" w:space="0" w:color="auto"/>
      </w:divBdr>
    </w:div>
    <w:div w:id="781845501">
      <w:bodyDiv w:val="1"/>
      <w:marLeft w:val="0"/>
      <w:marRight w:val="0"/>
      <w:marTop w:val="0"/>
      <w:marBottom w:val="0"/>
      <w:divBdr>
        <w:top w:val="none" w:sz="0" w:space="0" w:color="auto"/>
        <w:left w:val="none" w:sz="0" w:space="0" w:color="auto"/>
        <w:bottom w:val="none" w:sz="0" w:space="0" w:color="auto"/>
        <w:right w:val="none" w:sz="0" w:space="0" w:color="auto"/>
      </w:divBdr>
    </w:div>
    <w:div w:id="822548302">
      <w:bodyDiv w:val="1"/>
      <w:marLeft w:val="0"/>
      <w:marRight w:val="0"/>
      <w:marTop w:val="0"/>
      <w:marBottom w:val="0"/>
      <w:divBdr>
        <w:top w:val="none" w:sz="0" w:space="0" w:color="auto"/>
        <w:left w:val="none" w:sz="0" w:space="0" w:color="auto"/>
        <w:bottom w:val="none" w:sz="0" w:space="0" w:color="auto"/>
        <w:right w:val="none" w:sz="0" w:space="0" w:color="auto"/>
      </w:divBdr>
    </w:div>
    <w:div w:id="829827253">
      <w:bodyDiv w:val="1"/>
      <w:marLeft w:val="0"/>
      <w:marRight w:val="0"/>
      <w:marTop w:val="0"/>
      <w:marBottom w:val="0"/>
      <w:divBdr>
        <w:top w:val="none" w:sz="0" w:space="0" w:color="auto"/>
        <w:left w:val="none" w:sz="0" w:space="0" w:color="auto"/>
        <w:bottom w:val="none" w:sz="0" w:space="0" w:color="auto"/>
        <w:right w:val="none" w:sz="0" w:space="0" w:color="auto"/>
      </w:divBdr>
    </w:div>
    <w:div w:id="849414508">
      <w:bodyDiv w:val="1"/>
      <w:marLeft w:val="0"/>
      <w:marRight w:val="0"/>
      <w:marTop w:val="0"/>
      <w:marBottom w:val="0"/>
      <w:divBdr>
        <w:top w:val="none" w:sz="0" w:space="0" w:color="auto"/>
        <w:left w:val="none" w:sz="0" w:space="0" w:color="auto"/>
        <w:bottom w:val="none" w:sz="0" w:space="0" w:color="auto"/>
        <w:right w:val="none" w:sz="0" w:space="0" w:color="auto"/>
      </w:divBdr>
    </w:div>
    <w:div w:id="1128160148">
      <w:bodyDiv w:val="1"/>
      <w:marLeft w:val="0"/>
      <w:marRight w:val="0"/>
      <w:marTop w:val="0"/>
      <w:marBottom w:val="0"/>
      <w:divBdr>
        <w:top w:val="none" w:sz="0" w:space="0" w:color="auto"/>
        <w:left w:val="none" w:sz="0" w:space="0" w:color="auto"/>
        <w:bottom w:val="none" w:sz="0" w:space="0" w:color="auto"/>
        <w:right w:val="none" w:sz="0" w:space="0" w:color="auto"/>
      </w:divBdr>
    </w:div>
    <w:div w:id="1179081539">
      <w:bodyDiv w:val="1"/>
      <w:marLeft w:val="0"/>
      <w:marRight w:val="0"/>
      <w:marTop w:val="0"/>
      <w:marBottom w:val="0"/>
      <w:divBdr>
        <w:top w:val="none" w:sz="0" w:space="0" w:color="auto"/>
        <w:left w:val="none" w:sz="0" w:space="0" w:color="auto"/>
        <w:bottom w:val="none" w:sz="0" w:space="0" w:color="auto"/>
        <w:right w:val="none" w:sz="0" w:space="0" w:color="auto"/>
      </w:divBdr>
    </w:div>
    <w:div w:id="1208299383">
      <w:bodyDiv w:val="1"/>
      <w:marLeft w:val="0"/>
      <w:marRight w:val="0"/>
      <w:marTop w:val="0"/>
      <w:marBottom w:val="0"/>
      <w:divBdr>
        <w:top w:val="none" w:sz="0" w:space="0" w:color="auto"/>
        <w:left w:val="none" w:sz="0" w:space="0" w:color="auto"/>
        <w:bottom w:val="none" w:sz="0" w:space="0" w:color="auto"/>
        <w:right w:val="none" w:sz="0" w:space="0" w:color="auto"/>
      </w:divBdr>
    </w:div>
    <w:div w:id="1429540538">
      <w:bodyDiv w:val="1"/>
      <w:marLeft w:val="0"/>
      <w:marRight w:val="0"/>
      <w:marTop w:val="0"/>
      <w:marBottom w:val="0"/>
      <w:divBdr>
        <w:top w:val="none" w:sz="0" w:space="0" w:color="auto"/>
        <w:left w:val="none" w:sz="0" w:space="0" w:color="auto"/>
        <w:bottom w:val="none" w:sz="0" w:space="0" w:color="auto"/>
        <w:right w:val="none" w:sz="0" w:space="0" w:color="auto"/>
      </w:divBdr>
    </w:div>
    <w:div w:id="1570264711">
      <w:bodyDiv w:val="1"/>
      <w:marLeft w:val="0"/>
      <w:marRight w:val="0"/>
      <w:marTop w:val="0"/>
      <w:marBottom w:val="0"/>
      <w:divBdr>
        <w:top w:val="none" w:sz="0" w:space="0" w:color="auto"/>
        <w:left w:val="none" w:sz="0" w:space="0" w:color="auto"/>
        <w:bottom w:val="none" w:sz="0" w:space="0" w:color="auto"/>
        <w:right w:val="none" w:sz="0" w:space="0" w:color="auto"/>
      </w:divBdr>
    </w:div>
    <w:div w:id="1572039316">
      <w:bodyDiv w:val="1"/>
      <w:marLeft w:val="0"/>
      <w:marRight w:val="0"/>
      <w:marTop w:val="0"/>
      <w:marBottom w:val="0"/>
      <w:divBdr>
        <w:top w:val="none" w:sz="0" w:space="0" w:color="auto"/>
        <w:left w:val="none" w:sz="0" w:space="0" w:color="auto"/>
        <w:bottom w:val="none" w:sz="0" w:space="0" w:color="auto"/>
        <w:right w:val="none" w:sz="0" w:space="0" w:color="auto"/>
      </w:divBdr>
    </w:div>
    <w:div w:id="1616249453">
      <w:bodyDiv w:val="1"/>
      <w:marLeft w:val="0"/>
      <w:marRight w:val="0"/>
      <w:marTop w:val="0"/>
      <w:marBottom w:val="0"/>
      <w:divBdr>
        <w:top w:val="none" w:sz="0" w:space="0" w:color="auto"/>
        <w:left w:val="none" w:sz="0" w:space="0" w:color="auto"/>
        <w:bottom w:val="none" w:sz="0" w:space="0" w:color="auto"/>
        <w:right w:val="none" w:sz="0" w:space="0" w:color="auto"/>
      </w:divBdr>
    </w:div>
    <w:div w:id="1636065996">
      <w:bodyDiv w:val="1"/>
      <w:marLeft w:val="0"/>
      <w:marRight w:val="0"/>
      <w:marTop w:val="0"/>
      <w:marBottom w:val="0"/>
      <w:divBdr>
        <w:top w:val="none" w:sz="0" w:space="0" w:color="auto"/>
        <w:left w:val="none" w:sz="0" w:space="0" w:color="auto"/>
        <w:bottom w:val="none" w:sz="0" w:space="0" w:color="auto"/>
        <w:right w:val="none" w:sz="0" w:space="0" w:color="auto"/>
      </w:divBdr>
    </w:div>
    <w:div w:id="1639415381">
      <w:bodyDiv w:val="1"/>
      <w:marLeft w:val="0"/>
      <w:marRight w:val="0"/>
      <w:marTop w:val="0"/>
      <w:marBottom w:val="0"/>
      <w:divBdr>
        <w:top w:val="none" w:sz="0" w:space="0" w:color="auto"/>
        <w:left w:val="none" w:sz="0" w:space="0" w:color="auto"/>
        <w:bottom w:val="none" w:sz="0" w:space="0" w:color="auto"/>
        <w:right w:val="none" w:sz="0" w:space="0" w:color="auto"/>
      </w:divBdr>
    </w:div>
    <w:div w:id="1645964374">
      <w:bodyDiv w:val="1"/>
      <w:marLeft w:val="0"/>
      <w:marRight w:val="0"/>
      <w:marTop w:val="0"/>
      <w:marBottom w:val="0"/>
      <w:divBdr>
        <w:top w:val="none" w:sz="0" w:space="0" w:color="auto"/>
        <w:left w:val="none" w:sz="0" w:space="0" w:color="auto"/>
        <w:bottom w:val="none" w:sz="0" w:space="0" w:color="auto"/>
        <w:right w:val="none" w:sz="0" w:space="0" w:color="auto"/>
      </w:divBdr>
    </w:div>
    <w:div w:id="1799180079">
      <w:bodyDiv w:val="1"/>
      <w:marLeft w:val="0"/>
      <w:marRight w:val="0"/>
      <w:marTop w:val="0"/>
      <w:marBottom w:val="0"/>
      <w:divBdr>
        <w:top w:val="none" w:sz="0" w:space="0" w:color="auto"/>
        <w:left w:val="none" w:sz="0" w:space="0" w:color="auto"/>
        <w:bottom w:val="none" w:sz="0" w:space="0" w:color="auto"/>
        <w:right w:val="none" w:sz="0" w:space="0" w:color="auto"/>
      </w:divBdr>
    </w:div>
    <w:div w:id="1866284150">
      <w:bodyDiv w:val="1"/>
      <w:marLeft w:val="0"/>
      <w:marRight w:val="0"/>
      <w:marTop w:val="0"/>
      <w:marBottom w:val="0"/>
      <w:divBdr>
        <w:top w:val="none" w:sz="0" w:space="0" w:color="auto"/>
        <w:left w:val="none" w:sz="0" w:space="0" w:color="auto"/>
        <w:bottom w:val="none" w:sz="0" w:space="0" w:color="auto"/>
        <w:right w:val="none" w:sz="0" w:space="0" w:color="auto"/>
      </w:divBdr>
    </w:div>
    <w:div w:id="1914005105">
      <w:bodyDiv w:val="1"/>
      <w:marLeft w:val="0"/>
      <w:marRight w:val="0"/>
      <w:marTop w:val="0"/>
      <w:marBottom w:val="0"/>
      <w:divBdr>
        <w:top w:val="none" w:sz="0" w:space="0" w:color="auto"/>
        <w:left w:val="none" w:sz="0" w:space="0" w:color="auto"/>
        <w:bottom w:val="none" w:sz="0" w:space="0" w:color="auto"/>
        <w:right w:val="none" w:sz="0" w:space="0" w:color="auto"/>
      </w:divBdr>
    </w:div>
    <w:div w:id="2012177264">
      <w:bodyDiv w:val="1"/>
      <w:marLeft w:val="0"/>
      <w:marRight w:val="0"/>
      <w:marTop w:val="0"/>
      <w:marBottom w:val="0"/>
      <w:divBdr>
        <w:top w:val="none" w:sz="0" w:space="0" w:color="auto"/>
        <w:left w:val="none" w:sz="0" w:space="0" w:color="auto"/>
        <w:bottom w:val="none" w:sz="0" w:space="0" w:color="auto"/>
        <w:right w:val="none" w:sz="0" w:space="0" w:color="auto"/>
      </w:divBdr>
    </w:div>
    <w:div w:id="20577778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accessible@sen.parl.gc.ca"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sencanada.ca/media/5wjpehfk/senate-of-canada_accessibility-plan-2023-2025_audio_fr.mp3"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sencanada.ca/fr/accessibilite/retroaction/" TargetMode="External"/><Relationship Id="rId25" Type="http://schemas.openxmlformats.org/officeDocument/2006/relationships/hyperlink" Target="mailto:accessible@sen.parl.gc.ca" TargetMode="External"/><Relationship Id="rId2" Type="http://schemas.openxmlformats.org/officeDocument/2006/relationships/customXml" Target="../customXml/item2.xml"/><Relationship Id="rId16" Type="http://schemas.openxmlformats.org/officeDocument/2006/relationships/hyperlink" Target="https://sencanada.ca/fr/accessibilite/retroaction/" TargetMode="External"/><Relationship Id="rId20" Type="http://schemas.openxmlformats.org/officeDocument/2006/relationships/hyperlink" Target="https://sencanada.ca/fr/accessibilite/rapports-detape/2023"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aws-lois.justice.gc.ca/fra/lois/a-0.6/" TargetMode="External"/><Relationship Id="rId5" Type="http://schemas.openxmlformats.org/officeDocument/2006/relationships/numbering" Target="numbering.xml"/><Relationship Id="rId15" Type="http://schemas.openxmlformats.org/officeDocument/2006/relationships/hyperlink" Target="mailto:accessible@sen.parl.gc.ca" TargetMode="External"/><Relationship Id="rId23" Type="http://schemas.openxmlformats.org/officeDocument/2006/relationships/hyperlink" Target="https://www.canada.ca/fr/emploi-developpement-social/programmes/directives-reglements-canadien-accessibilite/consultation/inclusivite-linguistique.html"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sencanada.ca/fr/accessibilite/pla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encanada.ca/fr/accessibilite/plan/" TargetMode="External"/><Relationship Id="rId22" Type="http://schemas.openxmlformats.org/officeDocument/2006/relationships/hyperlink" Target="https://sencanada.ca/media/2sel0hjd/senate-of-canada_accessibility-plan_2023-progress-report_audio_fr.mp3"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A1F63F5AE6094C95A03A22E813D72C" ma:contentTypeVersion="16" ma:contentTypeDescription="Create a new document." ma:contentTypeScope="" ma:versionID="f96b79988d25b46111a13a555efdf88b">
  <xsd:schema xmlns:xsd="http://www.w3.org/2001/XMLSchema" xmlns:xs="http://www.w3.org/2001/XMLSchema" xmlns:p="http://schemas.microsoft.com/office/2006/metadata/properties" xmlns:ns3="815888a4-8fcb-4c05-b991-f8f823777f57" xmlns:ns4="cc199cec-4eb4-4a47-b772-1e4a00b06648" targetNamespace="http://schemas.microsoft.com/office/2006/metadata/properties" ma:root="true" ma:fieldsID="980d00e2bfd4560f3acbe36ad241c0ef" ns3:_="" ns4:_="">
    <xsd:import namespace="815888a4-8fcb-4c05-b991-f8f823777f57"/>
    <xsd:import namespace="cc199cec-4eb4-4a47-b772-1e4a00b0664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3:MediaServiceObjectDetectorVersions" minOccurs="0"/>
                <xsd:element ref="ns3:MediaLengthInSecond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5888a4-8fcb-4c05-b991-f8f823777f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ystemTags" ma:index="23"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199cec-4eb4-4a47-b772-1e4a00b0664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activity xmlns="815888a4-8fcb-4c05-b991-f8f823777f57" xsi:nil="true"/>
  </documentManagement>
</p:properties>
</file>

<file path=customXml/itemProps1.xml><?xml version="1.0" encoding="utf-8"?>
<ds:datastoreItem xmlns:ds="http://schemas.openxmlformats.org/officeDocument/2006/customXml" ds:itemID="{884308D4-2C78-4C6E-9109-064257D858E8}">
  <ds:schemaRefs>
    <ds:schemaRef ds:uri="http://schemas.openxmlformats.org/officeDocument/2006/bibliography"/>
  </ds:schemaRefs>
</ds:datastoreItem>
</file>

<file path=customXml/itemProps2.xml><?xml version="1.0" encoding="utf-8"?>
<ds:datastoreItem xmlns:ds="http://schemas.openxmlformats.org/officeDocument/2006/customXml" ds:itemID="{AC5AB518-AE4B-4832-AEEB-6501EB242B4A}">
  <ds:schemaRefs>
    <ds:schemaRef ds:uri="http://schemas.microsoft.com/sharepoint/v3/contenttype/forms"/>
  </ds:schemaRefs>
</ds:datastoreItem>
</file>

<file path=customXml/itemProps3.xml><?xml version="1.0" encoding="utf-8"?>
<ds:datastoreItem xmlns:ds="http://schemas.openxmlformats.org/officeDocument/2006/customXml" ds:itemID="{57B9D670-6FEB-4CE3-8BBA-B3747D364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5888a4-8fcb-4c05-b991-f8f823777f57"/>
    <ds:schemaRef ds:uri="cc199cec-4eb4-4a47-b772-1e4a00b066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3ED24ED-9E29-4C21-9C03-D14AAA44887C}">
  <ds:schemaRefs>
    <ds:schemaRef ds:uri="http://schemas.microsoft.com/office/2006/metadata/properties"/>
    <ds:schemaRef ds:uri="http://schemas.microsoft.com/office/infopath/2007/PartnerControls"/>
    <ds:schemaRef ds:uri="815888a4-8fcb-4c05-b991-f8f823777f5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7986</Words>
  <Characters>47749</Characters>
  <Application>Microsoft Office Word</Application>
  <DocSecurity>4</DocSecurity>
  <Lines>397</Lines>
  <Paragraphs>111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55624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2023-12-18T19:37:00Z</dcterms:created>
  <dcterms:modified xsi:type="dcterms:W3CDTF">2023-12-18T19:37:00Z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0x01010075A1F63F5AE6094C95A03A22E813D72C</vt:lpwstr>
  </property>
  <property fmtid="{D5CDD505-2E9C-101B-9397-08002B2CF9AE}" pid="3" name="GrammarlyDocumentId">
    <vt:lpwstr>b2a7f05833b6a3a54592e28c5de1f18553fad5837ab0e2abdaf5f462562f3798</vt:lpwstr>
  </property>
</Properties>
</file>